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StrlSchV 2018 — Anforderungen an die Ausrüstung bei der Anwendung am Menschen</w:t>
      </w:r>
    </w:p>
    <w:p>
      <w:r>
        <w:rPr>
          <w:color w:val="555555"/>
          <w:sz w:val="18"/>
        </w:rPr>
        <w:t xml:space="preserve">Strahlenschutzverordnung</w:t>
      </w:r>
    </w:p>
    <w:p>
      <w:r>
        <w:rPr>
          <w:color w:val="555555"/>
          <w:sz w:val="18"/>
        </w:rPr>
        <w:t xml:space="preserve">Stand: 23.04.2024 (konsolidierte Textfassung, kein amtliches Inkrafttretensdatum)</w:t>
      </w:r>
    </w:p>
    <w:p>
      <w:r>
        <w:t xml:space="preserve">(1) Der Strahlenschutzverantwortliche hat dafür zu sorgen, dass eine Röntgeneinrichtung zur Anwendung am Menschen nur verwendet wird, wenn sie</w:t>
      </w:r>
    </w:p>
    <w:p>
      <w:pPr>
        <w:ind w:left="420"/>
      </w:pPr>
      <w:r>
        <w:t xml:space="preserve">1. über eine Funktion verfügt, die die Parameter zur Ermittlung der bei der Anwendung erhaltenen Exposition der untersuchten oder behandelten Person anzeigt, oder, falls dies nach dem Stand der Technik nicht möglich ist, mit der die erhaltene Exposition der untersuchten oder behandelten Person auf andere Weise ermittelt werden kann,</w:t>
      </w:r>
    </w:p>
    <w:p>
      <w:pPr>
        <w:ind w:left="420"/>
      </w:pPr>
      <w:r>
        <w:t xml:space="preserve">2. über eine Funktion verfügt, die die Parameter, die zur Ermittlung der Exposition der untersuchten oder behandelten Person erforderlich sind, elektronisch aufzeichnet und für die Qualitätssicherung elektronisch nutzbar macht,</w:t>
      </w:r>
    </w:p>
    <w:p>
      <w:pPr>
        <w:ind w:left="420"/>
      </w:pPr>
      <w:r>
        <w:t xml:space="preserve">3. im Falle der Verwendung zur Durchleuchtung über eine Funktion zur elektronischen Bildverstärkung und zur automatischen Dosisleistungsregelung oder über eine andere, mindestens gleichwertige Funktion verfügt,</w:t>
      </w:r>
    </w:p>
    <w:p>
      <w:pPr>
        <w:ind w:left="420"/>
      </w:pPr>
      <w:r>
        <w:t xml:space="preserve">4. im Falle der Verwendung zur Durchleuchtung bei Interventionen neben der Vorrichtung oder Funktion nach Nummer 1 über eine Funktion verfügt, die der Person nach § 145 durchgängig während der Anwendung die Parameter zur Ermittlung der Exposition der untersuchten Person anzeigt.</w:t>
      </w:r>
    </w:p>
    <w:p>
      <w:r>
        <w:t xml:space="preserve">Abweichend von Satz 1 Nummer 2 ist die dort genannte Funktion für Dentalaufnahmegeräte mit Tubus und für Panoramaschichtgeräte nicht erforderlich.</w:t>
      </w:r>
    </w:p>
    <w:p>
      <w:r>
        <w:t xml:space="preserve">(2) Der Strahlenschutzverantwortliche hat dafür zu sorgen, dass eine Anlage zur Erzeugung ionisierender Strahlung oder eine Bestrahlungsvorrichtung, die jeweils eine Photonen- oder Teilchenenergie von mindestens 1 Megaelektronenvolt bereitstellt, zur Behandlung von Personen nur verwendet wird, wenn sie die Überprüfung der Parameter zur Bestimmung der Dosisverteilung ermöglicht.</w:t>
      </w:r>
    </w:p>
    <w:p>
      <w:r>
        <w:t xml:space="preserve">(3) Der Strahlenschutzverantwortliche hat dafür zu sorgen, dass eine Anlage zur Erzeugung ionisierender Strahlung zur Untersuchung von Personen nur verwendet wird, wenn sie über eine Funktion verfügt, die der Person nach § 145 die Parameter zur Ermittlung der Exposition der untersuchten Person anzeigt, oder, falls dies nach dem Stand der Technik nicht möglich ist, mit der die erhaltene Exposition der untersuchten Person auf andere Weise unmittelbar ermittelt werden kann.</w:t>
      </w:r>
    </w:p>
    <w:p>
      <w:r>
        <w:rPr>
          <w:color w:val="555555"/>
          <w:sz w:val="17"/>
        </w:rPr>
        <w:t xml:space="preserve">Zitiervorschlag: § 114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