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113 StrlSchV 2018 — Ausnahme</w:t>
      </w:r>
    </w:p>
    <w:p>
      <w:r>
        <w:rPr>
          <w:color w:val="555555"/>
          <w:sz w:val="18"/>
        </w:rPr>
        <w:t xml:space="preserve">Strahlenschutzverordnung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Dieser Abschnitt findet keine Anwendung beim anzeigebedürftigen Betrieb eines Luftfahrzeugs oder eines Raumfahrzeugs.</w:t>
      </w:r>
    </w:p>
    <w:p>
      <w:r>
        <w:rPr>
          <w:color w:val="555555"/>
          <w:sz w:val="17"/>
        </w:rPr>
        <w:t xml:space="preserve">Zitiervorschlag: § 113 StrlSchV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https://recht.nulegal.eu/gesetze/StrlSchV%202018/113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