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StrlSchV 2018 — Meldung und Erfassung von Vorkommnissen nach anderen Rechtsvorschriften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zur Meldung und Erfassung von Vorkommnissen nach Arzneimittelrecht und Medizinprodukterecht bleiben unberührt.</w:t>
      </w:r>
    </w:p>
    <w:p>
      <w:r>
        <w:t xml:space="preserve">(2) Die §§ 108 bis 110 finden im Anwendungsbereich der Atomrechtlichen Sicherheitsbeauftragten- und Meldeverordnung keine Anwendung.</w:t>
      </w:r>
    </w:p>
    <w:p>
      <w:r>
        <w:rPr>
          <w:color w:val="555555"/>
          <w:sz w:val="17"/>
        </w:rPr>
        <w:t xml:space="preserve">Zitiervorschlag: § 112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