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111 StrlSchV 2018 — Aufgaben der zentralen Stelle</w:t>
      </w:r>
    </w:p>
    <w:p>
      <w:r>
        <w:rPr>
          <w:color w:val="555555"/>
          <w:sz w:val="18"/>
        </w:rPr>
        <w:t xml:space="preserve">Strahlenschutzverordnung</w:t>
      </w:r>
    </w:p>
    <w:p>
      <w:r>
        <w:rPr>
          <w:color w:val="555555"/>
          <w:sz w:val="18"/>
        </w:rPr>
        <w:t xml:space="preserve">Stand: 10.06.2019 (konsolidierte Textfassung, kein amtliches Inkrafttretensdatum)</w:t>
      </w:r>
    </w:p>
    <w:p>
      <w:r>
        <w:t xml:space="preserve">(1) Die zentrale Stelle</w:t>
      </w:r>
    </w:p>
    <w:p>
      <w:pPr>
        <w:ind w:left="420"/>
      </w:pPr>
      <w:r>
        <w:t xml:space="preserve">1. richtet ein elektronisches System zur Erfassung, Verarbeitung und Auswertung von Informationen über bedeutsame Vorkommnisse bei medizinischer Exposition und bei Exposition der untersuchten Person bei einer nichtmedizinischen Anwendung ein und betreibt dieses,</w:t>
      </w:r>
    </w:p>
    <w:p>
      <w:pPr>
        <w:ind w:left="420"/>
      </w:pPr>
      <w:r>
        <w:t xml:space="preserve">2. bestimmt Verfahren, Form und Inhalt der Übermittlung von Informationen nach § 110 Absatz 2 Satz 1 Nummer 2,</w:t>
      </w:r>
    </w:p>
    <w:p>
      <w:pPr>
        <w:ind w:left="420"/>
      </w:pPr>
      <w:r>
        <w:t xml:space="preserve">3. erfasst und verarbeitet Informationen über ein bedeutsames Vorkommnis und wertet diese insbesondere im Hinblick auf die Übertragbarkeit und Bedeutsamkeit der Erkenntnisse auf andere Anwendungen und andere Anwender aus,</w:t>
      </w:r>
    </w:p>
    <w:p>
      <w:pPr>
        <w:ind w:left="420"/>
      </w:pPr>
      <w:r>
        <w:t xml:space="preserve">4. informiert das Bundesministerium für Umwelt, Naturschutz und nukleare Sicherheit unverzüglich über ihr vorliegende Informationen und ihre Auswertung zu einem bedeutsamen Vorkommnis,</w:t>
      </w:r>
    </w:p>
    <w:p>
      <w:pPr>
        <w:ind w:left="420"/>
      </w:pPr>
      <w:r>
        <w:t xml:space="preserve">5. macht dem Bundesministerium für Umwelt, Naturschutz und nukleare Sicherheit sowie den zuständigen Behörden die in dem System nach Nummer 1 enthaltenen Informationen zugänglich, soweit dies für deren Aufgabenerfüllung erforderlich ist,</w:t>
      </w:r>
    </w:p>
    <w:p>
      <w:pPr>
        <w:ind w:left="420"/>
      </w:pPr>
      <w:r>
        <w:t xml:space="preserve">6. führt eine regelmäßige systematische wissenschaftliche Aufarbeitung der durchgeführten Auswertungen durch und veröffentlicht die Ergebnisse einschließlich der daraus abgeleiteten Empfehlungen für den Strahlenschutz und</w:t>
      </w:r>
    </w:p>
    <w:p>
      <w:pPr>
        <w:ind w:left="420"/>
      </w:pPr>
      <w:r>
        <w:t xml:space="preserve">7. tauscht Informationen mit den für die Meldeverfahren nach Medizinprodukterecht und Arzneimittelrecht zuständigen Stellen sowie mit weiteren im Bereich der Sicherheit von Arzneimitteln und Medizinprodukten tätigen Stellen aus und berücksichtigt deren Erkenntnisse bei ihrer Auswertung und wissenschaftlichen Aufarbeitung.</w:t>
      </w:r>
    </w:p>
    <w:p>
      <w:r>
        <w:t xml:space="preserve">(2) Zentrale Stelle ist das Bundesamt für Strahlenschutz.</w:t>
      </w:r>
    </w:p>
    <w:p>
      <w:r>
        <w:rPr>
          <w:color w:val="555555"/>
          <w:sz w:val="17"/>
        </w:rPr>
        <w:t xml:space="preserve">Zitiervorschlag: § 111 StrlSchV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https://recht.nulegal.eu/gesetze/StrlSchV%202018/111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