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StrlSchV 2018 — Aufgaben der zuständigen Aufsichtsbehörden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Im Rahmen der strahlenschutzrechtlichen Aufsicht erfasst, prüft und bewertet die zuständige Behörde Meldungen nach § 108.</w:t>
      </w:r>
    </w:p>
    <w:p>
      <w:r>
        <w:t xml:space="preserve">(2) Die zuständige Behörde</w:t>
      </w:r>
    </w:p>
    <w:p>
      <w:pPr>
        <w:ind w:left="420"/>
      </w:pPr>
      <w:r>
        <w:t xml:space="preserve">1. informiert unverzüglich das Bundesministerium für Umwelt, Naturschutz und nukleare Sicherheit über ein bedeutsames Vorkommnis und</w:t>
      </w:r>
    </w:p>
    <w:p>
      <w:pPr>
        <w:ind w:left="420"/>
      </w:pPr>
      <w:r>
        <w:t xml:space="preserve">2. übermittelt bei einem bedeutsamen Vorkommnis bei medizinischer Exposition und bei Exposition der untersuchten Person bei einer nichtmedizinischen Anwendung unverzüglich die Informationen über das bedeutsame Vorkommnis in pseudonymisierter Form an die zentrale Stelle nach § 111.</w:t>
      </w:r>
    </w:p>
    <w:p>
      <w:r>
        <w:t xml:space="preserve">Im Falle der Zuständigkeit einer Landesbehörde erfolgt die Information nach Satz 1 Nummer 1 durch die zuständige oberste Landesbehörde.</w:t>
      </w:r>
    </w:p>
    <w:p>
      <w:r>
        <w:t xml:space="preserve">(3) Betrifft ein bedeutsames Vorkommnis bei medizinischer Exposition eine Anwendung radioaktiver Stoffe oder ionisierender Strahlung zum Zweck der medizinischen Forschung, so informiert die zuständige Behörde unverzüglich die für die Genehmigung oder Anzeige der Anwendung zuständige Behörde über den Sachverhalt. Sie übermittelt hierbei auch die Information über den Strahlenschutzverantwortlichen und die Genehmigung nach § 31 Absatz 1 oder die Anzeige nach § 32 Absatz 1 des Strahlenschutzgesetzes.</w:t>
      </w:r>
    </w:p>
    <w:p>
      <w:r>
        <w:rPr>
          <w:color w:val="555555"/>
          <w:sz w:val="17"/>
        </w:rPr>
        <w:t xml:space="preserve">Zitiervorschlag: § 110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