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StrlSchV 2018 — Untersuchung, Aufzeichnung und Aufbewahrung</w:t>
      </w:r>
    </w:p>
    <w:p>
      <w:r>
        <w:rPr>
          <w:color w:val="555555"/>
          <w:sz w:val="18"/>
        </w:rPr>
        <w:t xml:space="preserve">Strahlenschutzverordnung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Strahlenschutzverantwortliche hat dafür zu sorgen, dass die Ursachen und Auswirkungen eines Vorkommnisses unverzüglich in systematischer Weise untersucht werden.</w:t>
      </w:r>
    </w:p>
    <w:p>
      <w:r>
        <w:t xml:space="preserve">(2) Unbeschadet des § 90 Absatz 2 Satz 1 des Strahlenschutzgesetzes hat der Strahlenschutzverantwortliche dafür zu sorgen, dass das Eintreten eines Vorkommnisses, die Ergebnisse der Untersuchung nach Absatz 1 sowie die zur Behebung der Auswirkungen und zur Vermeidung eines Vorkommnisses getroffenen Maßnahmen unverzüglich aufgezeichnet werden.</w:t>
      </w:r>
    </w:p>
    <w:p>
      <w:r>
        <w:t xml:space="preserve">(3) Unbeschadet des § 90 Absatz 2 Satz 3 des Strahlenschutzgesetzes hat der Strahlenschutzverantwortliche dafür zu sorgen, dass die Aufzeichnungen nach Absatz 2 vor dem Zugriff Unbefugter geschützt werden.</w:t>
      </w:r>
    </w:p>
    <w:p>
      <w:r>
        <w:t xml:space="preserve">(4) Unbeschadet des § 90 Absatz 2 Satz 2, 4 und 5 des Strahlenschutzgesetzes hat der Strahlenschutzverantwortliche dafür zu sorgen, dass die Aufzeichnungen nach Absatz 2 30 Jahre lang aufbewahrt und der zuständigen Behörde auf Verlangen vorgelegt werden. Die Aufbewahrungsfrist beginnt mit dem Eintritt des Vorkommnisses.</w:t>
      </w:r>
    </w:p>
    <w:p>
      <w:r>
        <w:rPr>
          <w:color w:val="555555"/>
          <w:sz w:val="17"/>
        </w:rPr>
        <w:t xml:space="preserve">Zitiervorschlag: § 109 StrlSchV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https://recht.nulegal.eu/gesetze/StrlSchV%202018/109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