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107 StrlSchV 2018 — Maßnahmen bei einem Notfall oder Störfall</w:t>
      </w:r>
    </w:p>
    <w:p>
      <w:r>
        <w:rPr>
          <w:color w:val="555555"/>
          <w:sz w:val="18"/>
        </w:rPr>
        <w:t xml:space="preserve">Strahlenschutzverordnung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Über § 72 Absatz 3 des Strahlenschutzgesetzes hinaus hat der Strahlenschutzverantwortliche dafür zu sorgen, dass bei einem Notfall oder Störfall unverzüglich alle notwendigen Maßnahmen zur Verringerung der Folgen des Notfalls oder Störfalls getroffen werden.</w:t>
      </w:r>
    </w:p>
    <w:p>
      <w:r>
        <w:rPr>
          <w:color w:val="555555"/>
          <w:sz w:val="17"/>
        </w:rPr>
        <w:t xml:space="preserve">Zitiervorschlag: § 107 StrlSchV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https://recht.nulegal.eu/gesetze/StrlSchV%202018/107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