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StrlSchV 2018 — Begrenzung der Exposition durch Störfälle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bei der Planung baulicher oder sonstiger technischer Schutzmaßnahmen gegen Störfälle in oder an einem Kernkraftwerk, das der Erzeugung von Elektrizität dient, bis zur Stilllegung nach § 7 Absatz 3 des Atomgesetzes unbeschadet der Forderungen des § 8 des Strahlenschutzgesetzes in der Umgebung der Anlage durch Freisetzung radioaktiver Stoffe in die Umgebung höchstens folgende Körperdosen zugrunde gelegt werden:</w:t>
      </w:r>
    </w:p>
    <w:p>
      <w:pPr>
        <w:ind w:left="420"/>
      </w:pPr>
      <w:r>
        <w:t xml:space="preserve">1. eine effektive Dosis von 50 Millisievert,</w:t>
      </w:r>
    </w:p>
    <w:p>
      <w:pPr>
        <w:ind w:left="420"/>
      </w:pPr>
      <w:r>
        <w:t xml:space="preserve">2. eine Organ-Äquivalentdosis der Schilddrüse von 150 Millisievert,</w:t>
      </w:r>
    </w:p>
    <w:p>
      <w:pPr>
        <w:ind w:left="420"/>
      </w:pPr>
      <w:r>
        <w:t xml:space="preserve">3. eine Organ-Äquivalentdosis der Haut, der Hände, der Unterarme, der Füße und Knöchel von jeweils 500 Millisievert,</w:t>
      </w:r>
    </w:p>
    <w:p>
      <w:pPr>
        <w:ind w:left="420"/>
      </w:pPr>
      <w:r>
        <w:t xml:space="preserve">4. eine Organ-Äquivalentdosis der Augenlinse, der Keimdrüsen, der Gebärmutter und des Knochenmarks (rot) von jeweils 50 Millisievert,</w:t>
      </w:r>
    </w:p>
    <w:p>
      <w:pPr>
        <w:ind w:left="420"/>
      </w:pPr>
      <w:r>
        <w:t xml:space="preserve">5. eine Organ-Äquivalentdosis der Knochenoberfläche von 300 Millisievert und</w:t>
      </w:r>
    </w:p>
    <w:p>
      <w:pPr>
        <w:ind w:left="420"/>
      </w:pPr>
      <w:r>
        <w:t xml:space="preserve">6. eine Organ-Äquivalentdosis des Dickdarms, der Lunge, des Magens, der Blase, der Brust, der Leber, der Speiseröhre, der anderen Organe oder Gewebe gemäß Anlage 18 Teil C Nummer 2 Fußnote 1, soweit nicht unter Nummer 4 genannt, von jeweils 150 Millisievert.</w:t>
      </w:r>
    </w:p>
    <w:p>
      <w:r>
        <w:t xml:space="preserve">Maßgebend für eine ausreichende Vorsorge gegen Störfälle nach Satz 1 ist der Stand von Wissenschaft und Technik. Die Genehmigungsbehörde kann diese Vorsorge insbesondere dann als getroffen ansehen, wenn der Antragsteller bei der Auslegung des Kernkraftwerks die Störfälle zugrunde gelegt hat, die nach den veröffentlichten Sicherheitsanforderungen an Kernkraftwerke und den Interpretationen zu den Sicherheitsanforderungen an Kernkraftwerke die Auslegung eines Kernkraftwerks bestimmen müssen.</w:t>
      </w:r>
    </w:p>
    <w:p>
      <w:r>
        <w:t xml:space="preserve">(2) Absatz 1 Satz 1 und 2 gilt auch für die Aufbewahrung bestrahlter Kernbrennstoffe nach § 6 des Atomgesetzes an den jeweiligen Standorten der nach § 7 des Atomgesetzes genehmigten Kernkraftwerke sowie für Anlagen des Bundes zur Sicherstellung und zur Endlagerung radioaktiver Abfälle nach § 9a Absatz 3 Satz 1 erster Halbsatz zweiter Satzteil des Atomgesetzes.</w:t>
      </w:r>
    </w:p>
    <w:p>
      <w:r>
        <w:t xml:space="preserve">(3) Der Strahlenschutzverantwortliche hat dafür zu sorgen, dass bei der Planung von anderen als in Absatz 1 Satz 1 genannten Anlagen nach § 7 Absatz 1 des Atomgesetzes sowie bei der Planung der Stilllegung, des sicheren Einschlusses der endgültig stillgelegten Anlagen und des Abbaus der Anlagen oder von Anlagenteilen nach § 7 Absatz 3 Satz 1 des Atomgesetzes bauliche oder technische Schutzmaßnahmen unter Berücksichtigung des potenziellen Schadensausmaßes getroffen werden, um die Exposition bei Störfällen durch die Freisetzung radioaktiver Stoffe in die Umgebung zu begrenzen. Die Genehmigungsbehörde legt Art und Umfang der Schutzmaßnahmen unter Berücksichtigung des Einzelfalls, insbesondere des Gefährdungspotenzials der Anlage und der Wahrscheinlichkeit des Eintritts eines Störfalls, fest.</w:t>
      </w:r>
    </w:p>
    <w:p>
      <w:r>
        <w:t xml:space="preserve">(4) Absatz 3 gilt entsprechend für</w:t>
      </w:r>
    </w:p>
    <w:p>
      <w:pPr>
        <w:ind w:left="420"/>
      </w:pPr>
      <w:r>
        <w:t xml:space="preserve">1. die übrigen Tätigkeiten nach § 6 Absatz 1 und § 9 Absatz 1 des Atomgesetzes,</w:t>
      </w:r>
    </w:p>
    <w:p>
      <w:pPr>
        <w:ind w:left="420"/>
      </w:pPr>
      <w:r>
        <w:t xml:space="preserve">2. Abbau- und Stilllegungsmaßnahmen im Rahmen von Tätigkeiten nach § 6 Absatz 1 und § 9 Absatz 1 des Atomgesetzes,</w:t>
      </w:r>
    </w:p>
    <w:p>
      <w:pPr>
        <w:ind w:left="420"/>
      </w:pPr>
      <w:r>
        <w:t xml:space="preserve">3. Tätigkeiten nach § 12 Absatz 1 Nummer 3 des Strahlenschutzgesetzes in Verbindung mit § 12 Absatz 4 des Strahlenschutzgesetzes, bei denen mit mehr als dem 107fachen der Freigrenzen der Anlage 4 Tabelle 1 Spalte 2 als offener radioaktiver Stoff oder mit mehr als dem 1010fachen der Freigrenzen der Anlage 4 Tabelle 1 Spalte 2 als umschlossener radioaktiver Stoff umgegangen wird, es sei denn,</w:t>
      </w:r>
    </w:p>
    <w:p>
      <w:pPr>
        <w:ind w:left="780"/>
      </w:pPr>
      <w:r>
        <w:t xml:space="preserve">a) der Umgang mit den radioaktiven Stoffen in einem einzelnen Betrieb oder selbständigen Zweigbetrieb, bei Nichtgewerbetreibenden am Ort der Tätigkeit des Antragstellers, erfolgt in mehreren räumlich voneinander getrennten Gebäuden, Gebäudeteilen, Anlagen oder Einrichtungen,</w:t>
      </w:r>
    </w:p>
    <w:p>
      <w:pPr>
        <w:ind w:left="780"/>
      </w:pPr>
      <w:r>
        <w:t xml:space="preserve">b) die Aktivität der radioaktiven Stoffe in den einzelnen Gebäuden, Gebäudeteilen, Anlagen oder Einrichtungen überschreitet die genannten Vielfachen der Freigrenzen nicht und</w:t>
      </w:r>
    </w:p>
    <w:p>
      <w:pPr>
        <w:ind w:left="780"/>
      </w:pPr>
      <w:r>
        <w:t xml:space="preserve">c) es ist ausreichend sichergestellt, dass die radioaktiven Stoffe aus den einzelnen Gebäuden, Gebäudeteilen, Anlagen oder Einrichtungen nicht zusammenwirken können.</w:t>
      </w:r>
    </w:p>
    <w:p>
      <w:r>
        <w:t xml:space="preserve">(5) Die Absätze 1 bis 4 gelten nicht für Güter, die als gefährliche Güter nach § 2 des Gefahrgutbeförderungsgesetzes befördert werden.</w:t>
      </w:r>
    </w:p>
    <w:p>
      <w:r>
        <w:t xml:space="preserve">(6) Die Bundesregierung erlässt mit Zustimmung des Bundesrates Allgemeine Verwaltungsvorschriften, in denen Schutzziele zur Störfallvorsorge nach den Absätzen 3 und 4 festgelegt werden. Zu berücksichtigen sind dabei die Eintrittswahrscheinlichkeit des Schadensausmaßes und bei Tätigkeiten nach § 12 Absatz 1 Nummer 3 des Strahlenschutzgesetzes das Vielfache der Freigrenzen für offene und umschlossene radioaktive Stoffe.</w:t>
      </w:r>
    </w:p>
    <w:p>
      <w:r>
        <w:rPr>
          <w:color w:val="555555"/>
          <w:sz w:val="17"/>
        </w:rPr>
        <w:t xml:space="preserve">Zitiervorschlag: § 104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