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StrlSchV 2018 — Emissions- und Immissionsüberwachung</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Strahlenschutzverantwortliche hat dafür zu sorgen, dass Ableitungen aus kerntechnischen Anlagen, Anlagen im Sinne des § 9a Absatz 3 Satz 1 erster Halbsatz zweiter Satzteil des Atomgesetzes, Anlagen zur Erzeugung ionisierender Strahlung und Einrichtungen</w:t>
      </w:r>
    </w:p>
    <w:p>
      <w:pPr>
        <w:ind w:left="420"/>
      </w:pPr>
      <w:r>
        <w:t xml:space="preserve">1. überwacht werden und</w:t>
      </w:r>
    </w:p>
    <w:p>
      <w:pPr>
        <w:ind w:left="420"/>
      </w:pPr>
      <w:r>
        <w:t xml:space="preserve">2. der zuständigen Behörde mindestens jährlich mitgeteilt werden; die Ableitungen sind nach Art und Aktivität zu spezifizieren.</w:t>
      </w:r>
    </w:p>
    <w:p>
      <w:r>
        <w:t xml:space="preserve">Die zuständige Behörde kann von der Überwachungspflicht nach Satz 1 Nummer 1 befreien, wenn einer Bewertung durch den Strahlenschutzverantwortlichen zufolge sichergestellt ist, dass die effektive Dosis durch Ableitungen radioaktiver Stoffe mit Luft oder Wasser den Bereich von 10 Mikrosievert im Kalenderjahr jeweils nicht überschreiten wird. Der Strahlenschutzverantwortliche hat der zuständigen Behörde die entsprechende Bewertung mindestens jährlich mitzuteilen. Satz 2 gilt nicht für Anlagen zur Spaltung von Kernbrennstoffen zur gewerblichen Erzeugung von Elektrizität und für Anlagen zur Aufarbeitung bestrahlter Kernbrennstoffe.</w:t>
      </w:r>
    </w:p>
    <w:p>
      <w:r>
        <w:t xml:space="preserve">(2) Die zuständige Behörde kann anordnen, dass bei dem Betrieb, der Stilllegung, dem sicheren Einschluss und dem Abbau von kerntechnischen Anlagen, Anlagen im Sinne des § 9a Absatz 3 Satz 1 erster Halbsatz zweiter Satzteil des Atomgesetzes, Anlagen zur Erzeugung ionisierender Strahlung und Einrichtungen die Aktivität von Proben aus der Umgebung sowie Ortsdosen zur Überwachung der Exposition durch Direktstrahlung nach einem festzulegenden Plan durch Messung bestimmt werden und dass die Messergebnisse aufzuzeichnen, der zuständigen Behörde auf Verlangen vorzulegen und der Öffentlichkeit zugänglich zu machen sind. Die zuständige Behörde kann die Stelle bestimmen, die die Messungen vorzunehmen hat.</w:t>
      </w:r>
    </w:p>
    <w:p>
      <w:r>
        <w:t xml:space="preserve">(3) Zur Sicherstellung eines bundeseinheitlichen Qualitätsstandards bei der Emissions- und Immissionsüberwachung führen die in Anlage 12 genannten Verwaltungsbehörden des Bundes als Leitstellen Vergleichsmessungen und Vergleichsanalysen durch. Die Leitstellen haben ferner die Aufgabe, Probenahme-, Analyse- und Messverfahren zu entwickeln und festzulegen sowie die Daten der Emissions- und Immissionsüberwachung zusammenzufassen, aufzubereiten und zu dokumentieren. Die Physikalisch-Technische Bundesanstalt stellt Radioaktivitätsstandards für Vergleichsmessungen und Referenzmessfelder zur Messung der Gamma-Ortsdosisleistung der Umgebungsstrahlung bereit.</w:t>
      </w:r>
    </w:p>
    <w:p>
      <w:r>
        <w:t xml:space="preserve">(4) Zur Überprüfung der Emissionsmessungen nach Absatz 1 führt das Bundesamt für Strahlenschutz Kontrollmessungen durch und teilt die Messergebnisse der zuständigen Behörde mit. Im Einvernehmen mit dem Bundesamt für Strahlenschutz kann die zuständige Behörde oder eine von ihr beauftragte öffentliche Stelle im Einzelfall die Kontrollmessungen durchführen, wenn die Qualität der Messungen gewährleistet ist. Der Strahlenschutzverantwortliche und die von ihm beauftragten Messstellen haben die Kontrollmessungen zu dulden. Der Strahlenschutzverantwortliche hat zur Sicherung der Qualität seiner Emissionsmessungen an Vergleichsmessungen und Vergleichsanalysen des Bundesamtes für Strahlenschutz teilzunehmen. Die Qualität der Kontrollmessungen ist ebenfalls durch Teilnahme an diesen Ringversuchen zu sichern. Für die Durchführung der Kontrollmessungen sowie für die Teilnahme an den Vergleichsmessungen und Vergleichsanalysen werden Gebühren und Auslagen erhoben.</w:t>
      </w:r>
    </w:p>
    <w:p>
      <w:r>
        <w:rPr>
          <w:color w:val="555555"/>
          <w:sz w:val="17"/>
        </w:rPr>
        <w:t xml:space="preserve">Zitiervorschlag: § 103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