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StrlSchV 2018 — Befreiung von der Pflicht zur Deckungsvorsorge</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Keiner Deckungsvorsorge nach § 13 Absatz 2 des Strahlenschutzgesetzes für die Erteilung einer Umgangsgenehmigung nach § 12 Absatz 1 Nummer 3 des Strahlenschutzgesetzes sowie nach § 6 Absatz 2 Nummer 3 und § 9 Absatz 2 Nummer 4 des Atomgesetzes bedarf es, wenn</w:t>
      </w:r>
    </w:p>
    <w:p>
      <w:pPr>
        <w:ind w:left="420"/>
      </w:pPr>
      <w:r>
        <w:t xml:space="preserve">1. die Gesamtaktivität der radioaktiven Stoffe, mit denen in dem einzelnen Betrieb oder selbständigen Zweigbetrieb, bei Nichtgewerbetreibenden am Ort der Tätigkeit des Antragstellers, umgegangen wird, das 106fache der Freigrenzen der Anlage 4 Tabelle 1 Spalte 2 und bei angereichertem Uran die Masse an Uran-235 den Wert von 350 Gramm nicht überschreitet und</w:t>
      </w:r>
    </w:p>
    <w:p>
      <w:pPr>
        <w:ind w:left="420"/>
      </w:pPr>
      <w:r>
        <w:t xml:space="preserve">2. ausreichend sichergestellt ist, dass die sonstigen radioaktiven Stoffe aus den einzelnen Gebäuden, Gebäudeteilen, Anlagen oder Einrichtungen nicht zusammenwirken können.</w:t>
      </w:r>
    </w:p>
    <w:p>
      <w:r>
        <w:t xml:space="preserve">(2) Keiner Deckungsvorsorge nach § 13 Absatz 2 des Strahlenschutzgesetzes für die Erteilung einer Umgangsgenehmigung nach § 12 Absatz 1 Nummer 3 des Strahlenschutzgesetzes bedarf es ferner, wenn in dem einzelnen Betrieb oder selbständigen Zweigbetrieb, bei Nichtgewerbetreibenden am Ort der Tätigkeit des Antragstellers, mit sonstigen radioaktiven Stoffen in mehreren räumlich voneinander getrennten Gebäuden, Gebäudeteilen, Anlagen oder Einrichtungen umgegangen wird und wenn</w:t>
      </w:r>
    </w:p>
    <w:p>
      <w:pPr>
        <w:ind w:left="420"/>
      </w:pPr>
      <w:r>
        <w:t xml:space="preserve">1. die Aktivität der sonstigen radioaktiven Stoffe in den einzelnen Gebäuden, Gebäudeteilen, Anlagen oder Einrichtungen das 106fache der Freigrenzen der Anlage 4 Tabelle 1 Spalte 2 nicht überschreitet und</w:t>
      </w:r>
    </w:p>
    <w:p>
      <w:pPr>
        <w:ind w:left="420"/>
      </w:pPr>
      <w:r>
        <w:t xml:space="preserve">2. ausreichend sichergestellt ist, dass die sonstigen radioaktiven Stoffe aus den einzelnen Gebäuden, Gebäudeteilen, Anlagen oder Einrichtungen nicht zusammenwirken können.</w:t>
      </w:r>
    </w:p>
    <w:p>
      <w:r>
        <w:t xml:space="preserve">(3) Bei der Anwendung des Absatzes 1 oder 2 darf der Anteil an offenen radioaktiven Stoffen das 105fache der Freigrenzen der Anlage 4 Tabelle 1 Spalte 2 nicht überschreiten.</w:t>
      </w:r>
    </w:p>
    <w:p>
      <w:r>
        <w:t xml:space="preserve">(4) Die Absätze 1 und 2 gelten nicht für hochradioaktive Strahlenquellen.</w:t>
      </w:r>
    </w:p>
    <w:p>
      <w:r>
        <w:rPr>
          <w:color w:val="555555"/>
          <w:sz w:val="17"/>
        </w:rPr>
        <w:t xml:space="preserve">Zitiervorschlag: § 10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