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StrlSchG — (zu § 134 Absatz 1) Radiologisch relevante mineralische Primärrohstoffe für die Herstellung von Gebäuden mit Aufenthaltsräumen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2057)</w:t>
      </w:r>
    </w:p>
    <w:p>
      <w:pPr>
        <w:ind w:left="420"/>
      </w:pPr>
      <w:r>
        <w:t xml:space="preserve">1. Saure magmatische Gesteine sowie daraus entstandene metamorphe und sedimentäre Gesteine,</w:t>
      </w:r>
    </w:p>
    <w:p>
      <w:pPr>
        <w:ind w:left="420"/>
      </w:pPr>
      <w:r>
        <w:t xml:space="preserve">2. Sedimentgestein mit hohem organischem Anteil wie Öl-, Kupfer- und Alaunschiefer,</w:t>
      </w:r>
    </w:p>
    <w:p>
      <w:pPr>
        <w:ind w:left="420"/>
      </w:pPr>
      <w:r>
        <w:t xml:space="preserve">3. Travertin.</w:t>
      </w:r>
    </w:p>
    <w:p>
      <w:r>
        <w:rPr>
          <w:color w:val="555555"/>
          <w:sz w:val="17"/>
        </w:rPr>
        <w:t xml:space="preserve">Zitiervorschlag: Anlage 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