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8 StrlSchG — (zu § 127 Absatz 1 Nummer 2) Arbeitsfelder mit erhöhter Exposition durch Radon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2017, 2056)</w:t>
      </w:r>
    </w:p>
    <w:p>
      <w:pPr>
        <w:ind w:left="420"/>
      </w:pPr>
      <w:r>
        <w:t xml:space="preserve">1. Arbeitsplätze in untertägigen Bergwerken, Schächten und Höhlen, einschließlich Besucherbergwerken,</w:t>
      </w:r>
    </w:p>
    <w:p>
      <w:pPr>
        <w:ind w:left="420"/>
      </w:pPr>
      <w:r>
        <w:t xml:space="preserve">2. Arbeitsplätze in Radonheilbädern und Radonheilstollen,</w:t>
      </w:r>
    </w:p>
    <w:p>
      <w:pPr>
        <w:ind w:left="420"/>
      </w:pPr>
      <w:r>
        <w:t xml:space="preserve">3. Arbeitsplätze in Anlagen der Wassergewinnung, -aufbereitung und -verteilung.</w:t>
      </w:r>
    </w:p>
    <w:p>
      <w:r>
        <w:rPr>
          <w:color w:val="555555"/>
          <w:sz w:val="17"/>
        </w:rPr>
        <w:t xml:space="preserve">Zitiervorschlag: Anlage 8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https://recht.nulegal.eu/gesetze/StrlSchG/anlage-8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