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99 StrlSchG — Besondere Notfallpläne des Bundes</w:t>
      </w:r>
    </w:p>
    <w:p>
      <w:r>
        <w:rPr>
          <w:color w:val="555555"/>
          <w:sz w:val="18"/>
        </w:rPr>
        <w:t xml:space="preserve">Strahlenschutzgesetz</w:t>
      </w:r>
    </w:p>
    <w:p>
      <w:r>
        <w:rPr>
          <w:color w:val="555555"/>
          <w:sz w:val="18"/>
        </w:rPr>
        <w:t xml:space="preserve">Stand: 10.06.2019 (konsolidierte Textfassung, kein amtliches Inkrafttretensdatum)</w:t>
      </w:r>
    </w:p>
    <w:p>
      <w:r>
        <w:t xml:space="preserve">(1) Auf Vorschlag der für die jeweiligen Sachbereiche zuständigen Bundesministerien ergänzt und konkretisiert die Bundesregierung den allgemeinen Notfallplan des Bundes durch besondere Notfallpläne des Bundes. Die besonderen Notfallpläne des Bundes werden als allgemeine Verwaltungsvorschriften mit Zustimmung des Bundesrates beschlossen.</w:t>
      </w:r>
    </w:p>
    <w:p>
      <w:r>
        <w:t xml:space="preserve">(2) In den besonderen Notfallplänen des Bundes sind die Planungen insbesondere für die folgenden Anwendungsbereiche darzustellen:</w:t>
      </w:r>
    </w:p>
    <w:p>
      <w:pPr>
        <w:ind w:left="420"/>
      </w:pPr>
      <w:r>
        <w:t xml:space="preserve">1. für den Katastrophenschutz, die allgemeine Gefahrenabwehr und Hilfeleistung sowie für die medizinische Behandlung und Vorsorge nach einer Exposition der Bevölkerung und der Einsatzkräfte,</w:t>
      </w:r>
    </w:p>
    <w:p>
      <w:pPr>
        <w:ind w:left="420"/>
      </w:pPr>
      <w:r>
        <w:t xml:space="preserve">2. für die Trinkwassergewinnung und -versorgung,</w:t>
      </w:r>
    </w:p>
    <w:p>
      <w:pPr>
        <w:ind w:left="420"/>
      </w:pPr>
      <w:r>
        <w:t xml:space="preserve">3. für die Produktion pflanzlicher und tierischer Erzeugnisse, für Lebensmittel, Futtermittel, Bedarfsgegenstände, kosmetische Mittel und Erzeugnisse im Sinne von § 2 Nummer 1 des Tabakerzeugnisgesetzes,</w:t>
      </w:r>
    </w:p>
    <w:p>
      <w:pPr>
        <w:ind w:left="420"/>
      </w:pPr>
      <w:r>
        <w:t xml:space="preserve">4. für Arzneimittel und deren Ausgangsstoffe sowie für Medizinprodukte,</w:t>
      </w:r>
    </w:p>
    <w:p>
      <w:pPr>
        <w:ind w:left="420"/>
      </w:pPr>
      <w:r>
        <w:t xml:space="preserve">5. für sonstige Produkte, Gegenstände und Stoffe,</w:t>
      </w:r>
    </w:p>
    <w:p>
      <w:pPr>
        <w:ind w:left="420"/>
      </w:pPr>
      <w:r>
        <w:t xml:space="preserve">6. für die Beförderung von Gütern,</w:t>
      </w:r>
    </w:p>
    <w:p>
      <w:pPr>
        <w:ind w:left="420"/>
      </w:pPr>
      <w:r>
        <w:t xml:space="preserve">7. für den grenzüberschreitenden Verkehr von Personen, Fahrzeugen, Gütern und Gepäck,</w:t>
      </w:r>
    </w:p>
    <w:p>
      <w:pPr>
        <w:ind w:left="420"/>
      </w:pPr>
      <w:r>
        <w:t xml:space="preserve">8. für kontaminierte Gebiete, insbesondere für kontaminierte Grundstücke und Gewässer,</w:t>
      </w:r>
    </w:p>
    <w:p>
      <w:pPr>
        <w:ind w:left="420"/>
      </w:pPr>
      <w:r>
        <w:t xml:space="preserve">9. für die Entsorgung von Abfällen und für die Beseitigung von Abwasser sowie für die Errichtung und den Betrieb der in § 95 Absatz 1 Satz 2 genannten Anlagen.</w:t>
      </w:r>
    </w:p>
    <w:p>
      <w:r>
        <w:t xml:space="preserve">(3) Die besonderen Notfallpläne umfassen insbesondere die in Anlage 6 genannten Elemente. § 98 Absatz 3 Satz 2 gilt entsprechend.</w:t>
      </w:r>
    </w:p>
    <w:p>
      <w:r>
        <w:rPr>
          <w:color w:val="555555"/>
          <w:sz w:val="17"/>
        </w:rPr>
        <w:t xml:space="preserve">Zitiervorschlag: § 99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https://recht.nulegal.eu/gesetze/StrlSchG/99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