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StrlSchG — Bewirtschaftung von Abfällen, die infolge eines Notfalls kontaminiert sein können, Errichtung und Betrieb von Anlagen; Verordnungsermächtigungen</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Bundesregierung legt für mögliche Notfälle, für einen bereits eingetretenen Notfall und für eine nach einem Notfall bestehende Expositionssituation durch Rechtsverordnung mit Zustimmung des Bundesrates Kontaminationswerte für Abfälle und sonstige Gegenstände oder Stoffe, die durch einen Notfall kontaminiert sind oder kontaminiert sein können, fest. Werden diese Kontaminationswerte unterschritten, so ist davon auszugehen, dass der erforderliche Schutz von Mensch und Umwelt vor der schädlichen Wirkung ionisierender Strahlung bei der Bewirtschaftung dieser Abfälle sowie der Errichtung und dem Betrieb oder der Benutzung der nachfolgend genannten Anlagen nach Maßgabe des Kreislaufwirtschaftgesetzes und der sonstigen für Abfälle und für die Anlagen geltenden Bundesgesetze und der auf diese Gesetze gestützten Rechtsverordnungen ohne zusätzliche spezielle Schutzmaßnahmen sichergestellt ist:</w:t>
      </w:r>
    </w:p>
    <w:p>
      <w:pPr>
        <w:ind w:left="420"/>
      </w:pPr>
      <w:r>
        <w:t xml:space="preserve">1. Anlagen, in denen diese Abfälle entsorgt werden,</w:t>
      </w:r>
    </w:p>
    <w:p>
      <w:pPr>
        <w:ind w:left="420"/>
      </w:pPr>
      <w:r>
        <w:t xml:space="preserve">2. Abwasseranlagen, die Abwasser aufnehmen, das durch einen Notfall kontaminiert ist oder kontaminiert sein kann,</w:t>
      </w:r>
    </w:p>
    <w:p>
      <w:pPr>
        <w:ind w:left="420"/>
      </w:pPr>
      <w:r>
        <w:t xml:space="preserve">3. Anlagen, in denen diese Abfälle oder diese sonstigen Gegenstände oder Stoffe insbesondere als Brennstoff, Rohstoff, Material, Vorprodukt, Schmier-, Löse- oder sonstiges Hilfsmittel gelagert, eingesetzt oder behandelt werden oder gelagert, eingesetzt oder behandelt werden können.</w:t>
      </w:r>
    </w:p>
    <w:p>
      <w:r>
        <w:t xml:space="preserve">(2) Um den Schutz des Menschen und der Umwelt vor der schädlichen Wirkung ionisierender Strahlung sicherzustellen, regelt die Bundesregierung durch Rechtsverordnung mit Zustimmung des Bundesrates für die Vermeidung, Verwertung, Beseitigung oder sonstige Bewirtschaftung von Abfällen, die infolge eines Notfalls radioaktiv kontaminiert sind oder radioaktiv kontaminiert sein können, für die Errichtung und den Betrieb der in Absatz 1 Satz 2 genannten Anlagen sowie für die Gewässeraufsicht ergänzende Anforderungen und Ausnahmen zu nachfolgenden Rechtsvorschriften oder lässt die Erteilung von Ausnahmen zu diesen Rechtsvorschriften durch die zuständigen Behörden zu:</w:t>
      </w:r>
    </w:p>
    <w:p>
      <w:pPr>
        <w:ind w:left="420"/>
      </w:pPr>
      <w:r>
        <w:t xml:space="preserve">1. zum Kreislaufwirtschaftsgesetz und zu den sonstigen für Abfälle geltenden Bundesgesetzen und zu den auf diese Gesetze gestützten Rechtsverordnungen und</w:t>
      </w:r>
    </w:p>
    <w:p>
      <w:pPr>
        <w:ind w:left="420"/>
      </w:pPr>
      <w:r>
        <w:t xml:space="preserve">2. zu Bundesgesetzen, die für die Errichtung und den Betrieb der in Absatz 1 Satz 2 genannten Anlagen gelten, und zu den auf diese Gesetze gestützten Rechtsverordnungen.</w:t>
      </w:r>
    </w:p>
    <w:p>
      <w:r>
        <w:t xml:space="preserve">Ausnahmen dürfen nur geregelt, zugelassen oder erteilt werden, soweit Gefahren für die menschliche Gesundheit hierdurch nicht zu erwarten sind und Rechtsakte der Europäischen Union oder der Europäischen Atomgemeinschaft nicht entgegenstehen. Bei solchen Ausnahmen sind erhebliche Nachteile für die Allgemeinheit oder die Nachbarschaft zu vermeiden oder zu vermindern, soweit dies unter Berücksichtigung der radiologischen Lage und der anderen für die Ausnahme erheblichen Umstände des jeweiligen Notfalls möglich und angemessen ist. Bei den Ausnahmen und den ergänzenden Regelungen sind Anforderungen an die Vorsorge gegen schädliche Umwelteinwirkungen und sonstige Gefahren sowie gegen erhebliche Nachteile und erhebliche Belästigungen zu berücksichtigen, insbesondere dadurch, dass die dem Stand der Technik entsprechenden Maßnahmen ergriffen werden.</w:t>
      </w:r>
    </w:p>
    <w:p>
      <w:r>
        <w:t xml:space="preserve">(3) Die Regelungen nach Absatz 2 beziehen sich insbesondere auf</w:t>
      </w:r>
    </w:p>
    <w:p>
      <w:pPr>
        <w:ind w:left="420"/>
      </w:pPr>
      <w:r>
        <w:t xml:space="preserve">1. die Rangfolge der Maßnahmen zur Abfallvermeidung und zur Abfallbewirtschaftung,</w:t>
      </w:r>
    </w:p>
    <w:p>
      <w:pPr>
        <w:ind w:left="420"/>
      </w:pPr>
      <w:r>
        <w:t xml:space="preserve">2. Anforderungen an die Schadlosigkeit der Verwertung,</w:t>
      </w:r>
    </w:p>
    <w:p>
      <w:pPr>
        <w:ind w:left="420"/>
      </w:pPr>
      <w:r>
        <w:t xml:space="preserve">3. die Ordnung und Durchführung der Abfallbeseitigung,</w:t>
      </w:r>
    </w:p>
    <w:p>
      <w:pPr>
        <w:ind w:left="420"/>
      </w:pPr>
      <w:r>
        <w:t xml:space="preserve">4. Anforderungen an die Errichtung und den Betrieb von Deponien sowie deren Zulassung einschließlich des Zulassungsverfahrens,</w:t>
      </w:r>
    </w:p>
    <w:p>
      <w:pPr>
        <w:ind w:left="420"/>
      </w:pPr>
      <w:r>
        <w:t xml:space="preserve">5. Anforderungen an die Überwachung der Abfallwirtschaft,</w:t>
      </w:r>
    </w:p>
    <w:p>
      <w:pPr>
        <w:ind w:left="420"/>
      </w:pPr>
      <w:r>
        <w:t xml:space="preserve">6. Anforderungen an Sammler, Beförderer, Händler und Makler von Abfällen sowie deren jeweilige Zulassung einschließlich des Zulassungsverfahrens,</w:t>
      </w:r>
    </w:p>
    <w:p>
      <w:pPr>
        <w:ind w:left="420"/>
      </w:pPr>
      <w:r>
        <w:t xml:space="preserve">7. Anforderungen an die Errichtung, die Beschaffenheit, den Betrieb und die wesentliche Änderung der in Absatz 1 Satz 2 genannten Anlagen, an die Zulassung dieser Anlagen einschließlich des Zulassungsverfahrens sowie an den Zustand der Anlage und des Anlagengrundstücks nach Betriebseinstellung,</w:t>
      </w:r>
    </w:p>
    <w:p>
      <w:pPr>
        <w:ind w:left="420"/>
      </w:pPr>
      <w:r>
        <w:t xml:space="preserve">8. Anforderungen an die Benutzung der in Absatz 1 Satz 2 Nummer 2 genannten Abwasseranlagen,</w:t>
      </w:r>
    </w:p>
    <w:p>
      <w:pPr>
        <w:ind w:left="420"/>
      </w:pPr>
      <w:r>
        <w:t xml:space="preserve">9. Anforderungen an die Benutzung von Gewässern, insbesondere an das Einbringen und Einleiten von Stoffen in ein Gewässer; die Anforderungen können auch für den Ort des Anfalls von Abwasser oder vor seiner Vermischung festgelegt werden,</w:t>
      </w:r>
    </w:p>
    <w:p>
      <w:pPr>
        <w:ind w:left="420"/>
      </w:pPr>
      <w:r>
        <w:t xml:space="preserve">10. Anforderungen an die Erfüllung der Abwasserbeseitigungspflicht,</w:t>
      </w:r>
    </w:p>
    <w:p>
      <w:pPr>
        <w:ind w:left="420"/>
      </w:pPr>
      <w:r>
        <w:t xml:space="preserve">11. Anforderungen an die Überwachung der Gewässereigenschaften,</w:t>
      </w:r>
    </w:p>
    <w:p>
      <w:pPr>
        <w:ind w:left="420"/>
      </w:pPr>
      <w:r>
        <w:t xml:space="preserve">12. Messmethoden und Messverfahren, insbesondere im Rahmen der Abwasserbeseitigung und der Überwachung von Gewässereigenschaften,</w:t>
      </w:r>
    </w:p>
    <w:p>
      <w:pPr>
        <w:ind w:left="420"/>
      </w:pPr>
      <w:r>
        <w:t xml:space="preserve">13. Pflichten der Betreiber der in Absatz 1 Satz 2 genannten Anlagen,</w:t>
      </w:r>
    </w:p>
    <w:p>
      <w:pPr>
        <w:ind w:left="420"/>
      </w:pPr>
      <w:r>
        <w:t xml:space="preserve">14. die Voraussetzungen, unter denen die zuständigen Behörden Ausnahmen auf Grund einer Verordnung nach Absatz 2 zulassen können und</w:t>
      </w:r>
    </w:p>
    <w:p>
      <w:pPr>
        <w:ind w:left="420"/>
      </w:pPr>
      <w:r>
        <w:t xml:space="preserve">15. die Anforderungen, die zur Erfüllung der sich aus Absatz 2 Satz 2 und 3 ergebenden Pflichten zu erfüllen sind.</w:t>
      </w:r>
    </w:p>
    <w:p>
      <w:r>
        <w:t xml:space="preserve">(4) Die Länder legen fest, welche juristischen Personen als öffentlich-rechtliche Entsorgungsträger im Sinne des § 17 des Kreislaufwirtschaftsgesetzes zur Entsorgung solcher Abfälle aus privaten Haushaltungen und aus anderen Herkunftsbereichen verpflichtet sind, die auf Grund ihrer notfallbedingten Kontamination nicht in den für die Beseitigung anderer Abfälle vorgesehenen Anlagen oder Einrichtungen behandelt, gelagert oder abgelagert werden können.</w:t>
      </w:r>
    </w:p>
    <w:p>
      <w:r>
        <w:t xml:space="preserve">(5) Für Rechtsverordnungen nach den Absätzen 1 bis 3 gilt § 94 Absatz 3 und 4 entsprechend.</w:t>
      </w:r>
    </w:p>
    <w:p>
      <w:r>
        <w:rPr>
          <w:color w:val="555555"/>
          <w:sz w:val="17"/>
        </w:rPr>
        <w:t xml:space="preserve">Zitiervorschlag: § 95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