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94 StrlSchG — Dosiswerte und Kontaminationswerte für den Schutz der Bevölkerung; Verordnungsermächtigungen</w:t>
      </w:r>
    </w:p>
    <w:p>
      <w:r>
        <w:rPr>
          <w:color w:val="555555"/>
          <w:sz w:val="18"/>
        </w:rPr>
        <w:t xml:space="preserve">Strahlenschutzgesetz</w:t>
      </w:r>
    </w:p>
    <w:p>
      <w:r>
        <w:rPr>
          <w:color w:val="555555"/>
          <w:sz w:val="18"/>
        </w:rPr>
        <w:t xml:space="preserve">Stand: 12.08.2020 (konsolidierte Textfassung, kein amtliches Inkrafttretensdatum)</w:t>
      </w:r>
    </w:p>
    <w:p>
      <w:r>
        <w:t xml:space="preserve">(1) Das Bundesministerium für Umwelt, Naturschutz und nukleare Sicherheit legt für mögliche Notfälle durch Rechtsverordnung mit Zustimmung des Bundesrates Dosiswerte fest, die als radiologisches Kriterium für die Angemessenheit folgender Schutzmaßnahmen dienen:</w:t>
      </w:r>
    </w:p>
    <w:p>
      <w:pPr>
        <w:ind w:left="420"/>
      </w:pPr>
      <w:r>
        <w:t xml:space="preserve">1. Aufforderung zum Aufenthalt in Gebäuden,</w:t>
      </w:r>
    </w:p>
    <w:p>
      <w:pPr>
        <w:ind w:left="420"/>
      </w:pPr>
      <w:r>
        <w:t xml:space="preserve">2. Verteilung von Jodtabletten oder Aufforderung zur Einnahme von Jodtabletten und</w:t>
      </w:r>
    </w:p>
    <w:p>
      <w:pPr>
        <w:ind w:left="420"/>
      </w:pPr>
      <w:r>
        <w:t xml:space="preserve">3. Evakuierung.</w:t>
      </w:r>
    </w:p>
    <w:p>
      <w:r>
        <w:t xml:space="preserve">Diese Werte beziehen sich auf die Dosis, die betroffene Personen in einem bestimmten Zeitraum nach Eintritt des Notfalls ohne Schutzmaßnahmen erhalten würden.</w:t>
      </w:r>
    </w:p>
    <w:p>
      <w:r>
        <w:t xml:space="preserve">(2) Das Bundesministerium für Umwelt, Naturschutz und nukleare Sicherheit wird ermächtigt, für mögliche Notfälle, für einen bereits eingetretenen Notfall und für eine nach einem Notfall bestehende Expositionssituation durch Rechtsverordnung mit Zustimmung des Bundesrates Grenzwerte für notfallbedingte Kontaminationen oder Dosisleistungen festzulegen</w:t>
      </w:r>
    </w:p>
    <w:p>
      <w:pPr>
        <w:ind w:left="420"/>
      </w:pPr>
      <w:r>
        <w:t xml:space="preserve">1. für Einzelpersonen der Bevölkerung,</w:t>
      </w:r>
    </w:p>
    <w:p>
      <w:pPr>
        <w:ind w:left="420"/>
      </w:pPr>
      <w:r>
        <w:t xml:space="preserve">2. für das Trinkwasser,</w:t>
      </w:r>
    </w:p>
    <w:p>
      <w:pPr>
        <w:ind w:left="420"/>
      </w:pPr>
      <w:r>
        <w:t xml:space="preserve">3. für Lebensmittel, Futtermittel, Bedarfsgegenstände, kosmetische Mittel und Erzeugnisse im Sinne von § 2 Nummer 1 des Tabakerzeugnisgesetzes,</w:t>
      </w:r>
    </w:p>
    <w:p>
      <w:pPr>
        <w:ind w:left="420"/>
      </w:pPr>
      <w:r>
        <w:t xml:space="preserve">4. für Arzneimittel und deren Ausgangsstoffe sowie für Medizinprodukte,</w:t>
      </w:r>
    </w:p>
    <w:p>
      <w:pPr>
        <w:ind w:left="420"/>
      </w:pPr>
      <w:r>
        <w:t xml:space="preserve">5. für sonstige Produkte, Gegenstände und Stoffe,</w:t>
      </w:r>
    </w:p>
    <w:p>
      <w:pPr>
        <w:ind w:left="420"/>
      </w:pPr>
      <w:r>
        <w:t xml:space="preserve">6. für Fahrzeuge, Güter oder Gepäck und</w:t>
      </w:r>
    </w:p>
    <w:p>
      <w:pPr>
        <w:ind w:left="420"/>
      </w:pPr>
      <w:r>
        <w:t xml:space="preserve">7. für kontaminierte Gebiete, insbesondere für kontaminierte Grundstücke und Gewässer,</w:t>
      </w:r>
    </w:p>
    <w:p>
      <w:r>
        <w:t xml:space="preserve">bei deren Überschreitung davon auszugehen ist, dass eine Gefahr für Einzelpersonen der Bevölkerung durch ionisierende Strahlung besteht. Diese Grenzwerte dienen der Durchführung optimierter Schutzstrategien nach § 98 Absatz 3 Satz 1 Nummer 1.</w:t>
      </w:r>
    </w:p>
    <w:p>
      <w:r>
        <w:t xml:space="preserve">(3) Das Bundesministerium für Umwelt, Naturschutz und nukleare Sicherheit wird ermächtigt, durch Rechtsverordnung ohne Zustimmung des Bundesrates Rechtsverordnungen nach Absatz 2 aufzuheben, zeitlich befristet für unanwendbar zu erklären oder in ihrem Wortlaut einem verbleibenden Anwendungsbereich anzupassen, soweit sie durch den Erlass entsprechender Vorschriften in unmittelbar geltenden Rechtsakten der Europäischen Atomgemeinschaft oder der Europäischen Union unbefristet oder befristet unanwendbar geworden sind.</w:t>
      </w:r>
    </w:p>
    <w:p>
      <w:r>
        <w:t xml:space="preserve">(4) In den Rechtsverordnungen nach den Absätzen 1 und 2 können auch</w:t>
      </w:r>
    </w:p>
    <w:p>
      <w:pPr>
        <w:ind w:left="420"/>
      </w:pPr>
      <w:r>
        <w:t xml:space="preserve">1. Verfahren und Annahmen zur Messung, Berechnung oder Abschätzung der Dosiswerte, Kontaminationswerte oder Dosisleistungswerte festgelegt werden oder</w:t>
      </w:r>
    </w:p>
    <w:p>
      <w:pPr>
        <w:ind w:left="420"/>
      </w:pPr>
      <w:r>
        <w:t xml:space="preserve">2. Voraussetzungen festgelegt werden, unter denen diese Werte gelten.</w:t>
      </w:r>
    </w:p>
    <w:p>
      <w:r>
        <w:t xml:space="preserve">(5) Rechtsverordnungen nach Absatz 2 ergehen im Einvernehmen mit dem Bundesministerium für Gesundheit, dem Bundesministerium für Ernährung und Landwirtschaft, dem Bundesministerium für Wirtschaft und Energie, dem Bundesministerium für Arbeit und Soziales, dem Bundesministerium für Verkehr und digitale Infrastruktur, dem Bundesministerium des Innern, für Bau und Heimat und dem Bundesministerium der Finanzen.</w:t>
      </w:r>
    </w:p>
    <w:p>
      <w:r>
        <w:rPr>
          <w:color w:val="555555"/>
          <w:sz w:val="17"/>
        </w:rPr>
        <w:t xml:space="preserve">Zitiervorschlag: § 94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https://recht.nulegal.eu/gesetze/StrlSchG/94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