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StrlSchG — Referenzwerte für den Schutz der Bevölkerung; Verordnungsermächtigungen</w:t>
      </w:r>
    </w:p>
    <w:p>
      <w:r>
        <w:rPr>
          <w:color w:val="555555"/>
          <w:sz w:val="18"/>
        </w:rPr>
        <w:t xml:space="preserve">Strahlenschutzgesetz</w:t>
      </w:r>
    </w:p>
    <w:p>
      <w:r>
        <w:rPr>
          <w:color w:val="555555"/>
          <w:sz w:val="18"/>
        </w:rPr>
        <w:t xml:space="preserve">Stand: 12.08.2020 (konsolidierte Textfassung, kein amtliches Inkrafttretensdatum)</w:t>
      </w:r>
    </w:p>
    <w:p>
      <w:r>
        <w:t xml:space="preserve">(1) Für den Schutz der Bevölkerung gilt bei der Planung von Schutzmaßnahmen und bei den Entscheidungen über ihre Durchführung in einem Notfall ein Referenzwert von 100 Millisievert für die effektive Dosis, die betroffene Personen jeweils durch den Notfall innerhalb eines Jahres über alle Expositionspfade erhalten würden, wenn die vorgesehenen Schutzmaßnahmen durchgeführt würden. Das Bundesministerium für Umwelt, Naturschutz und nukleare Sicherheit wird ermächtigt, durch Rechtsverordnung mit Zustimmung des Bundesrates Verfahren und Annahmen zur Abschätzung, inwieweit dieser Referenzwert unterschritten, eingehalten oder überschritten wird, festzulegen.</w:t>
      </w:r>
    </w:p>
    <w:p>
      <w:r>
        <w:t xml:space="preserve">(2) Das Bundesministerium für Umwelt, Naturschutz und nukleare Sicherheit wird ermächtigt, durch Rechtsverordnung mit Zustimmung des Bundesrates für mögliche Notfälle oder für einen bereits eingetretenen Notfall ergänzend angemessene Referenzwerte für Organ-Äquivalentdosen festzulegen. Dies gilt insbesondere zur Erleichterung der Zusammenarbeit mit anderen Mitgliedstaaten der Europäischen Union und der Europäischen Atomgemeinschaft oder Drittstaaten beim Schutz der Bevölkerung.</w:t>
      </w:r>
    </w:p>
    <w:p>
      <w:r>
        <w:t xml:space="preserve">(3) Das Bundesministerium für Umwelt, Naturschutz und nukleare Sicherheit wird ermächtigt, für einen bereits eingetretenen Notfall durch Rechtsverordnung mit Zustimmung des Bundesrates einen niedrigeren Referenzwert für die effektive Dosis, bezogen auf ein Jahr oder eine einmalige Exposition, festzulegen.</w:t>
      </w:r>
    </w:p>
    <w:p>
      <w:r>
        <w:rPr>
          <w:color w:val="555555"/>
          <w:sz w:val="17"/>
        </w:rPr>
        <w:t xml:space="preserve">Zitiervorschlag: § 93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