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StrlSchG — Verordnungsermächtigung für Informationspflichten des Herstellers oder Lieferanten von Geräten</w:t>
      </w:r>
    </w:p>
    <w:p>
      <w:r>
        <w:rPr>
          <w:color w:val="555555"/>
          <w:sz w:val="18"/>
        </w:rPr>
        <w:t xml:space="preserve">Strahlenschutzgesetz</w:t>
      </w:r>
    </w:p>
    <w:p>
      <w:r>
        <w:rPr>
          <w:color w:val="555555"/>
          <w:sz w:val="18"/>
        </w:rPr>
        <w:t xml:space="preserve">Stand: 10.06.2019 (konsolidierte Textfassung, kein amtliches Inkrafttretensdatum)</w:t>
      </w:r>
    </w:p>
    <w:p>
      <w:r>
        <w:t xml:space="preserve">Die Bundesregierung wird ermächtigt, durch Rechtsverordnung mit Zustimmung des Bundesrates zu bestimmen, dass der Hersteller oder Lieferant von Anlagen zur Erzeugung ionisierender Strahlung, Röntgeneinrichtungen, Störstrahlern, Bestrahlungsvorrichtungen und weiteren im Zusammenhang mit Tätigkeiten eingesetzten Ausrüstungen, Geräten und Vorrichtungen dem Strahlenschutzverantwortlichen Informationen über diese Geräte zur Verfügung zu stellen hat. In der Rechtsverordnung kann insbesondere festgelegt werden,</w:t>
      </w:r>
    </w:p>
    <w:p>
      <w:pPr>
        <w:ind w:left="420"/>
      </w:pPr>
      <w:r>
        <w:t xml:space="preserve">1. zu welchem Zeitpunkt der Hersteller oder Lieferant dem Strahlenschutzverantwortlichen für welche der genannten Geräte Informationen zur Verfügung zu stellen hat,</w:t>
      </w:r>
    </w:p>
    <w:p>
      <w:pPr>
        <w:ind w:left="420"/>
      </w:pPr>
      <w:r>
        <w:t xml:space="preserve">2. welche Angaben und Unterlagen zur Verfügung gestellt werden müssen,</w:t>
      </w:r>
    </w:p>
    <w:p>
      <w:pPr>
        <w:ind w:left="420"/>
      </w:pPr>
      <w:r>
        <w:t xml:space="preserve">3. für welche Zwecke die Unterlagen geeignet sein müssen und welchen Anforderungen sie genügen müssen,</w:t>
      </w:r>
    </w:p>
    <w:p>
      <w:pPr>
        <w:ind w:left="420"/>
      </w:pPr>
      <w:r>
        <w:t xml:space="preserve">4. dass die Informationen auch demjenigen zur Verfügung zu stellen sind, der beabsichtigt, Strahlenschutzverantwortlicher zu werden.</w:t>
      </w:r>
    </w:p>
    <w:p>
      <w:r>
        <w:rPr>
          <w:color w:val="555555"/>
          <w:sz w:val="17"/>
        </w:rPr>
        <w:t xml:space="preserve">Zitiervorschlag: § 91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