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StrlSchG — Register über hochradioaktive Strahlenquellen; Verordnungsermächtigungen</w:t>
      </w:r>
    </w:p>
    <w:p>
      <w:r>
        <w:rPr>
          <w:color w:val="555555"/>
          <w:sz w:val="18"/>
        </w:rPr>
        <w:t xml:space="preserve">Strahlenschutzgesetz</w:t>
      </w:r>
    </w:p>
    <w:p>
      <w:r>
        <w:rPr>
          <w:color w:val="555555"/>
          <w:sz w:val="18"/>
        </w:rPr>
        <w:t xml:space="preserve">Stand: 12.08.2020 (konsolidierte Textfassung, kein amtliches Inkrafttretensdatum)</w:t>
      </w:r>
    </w:p>
    <w:p>
      <w:r>
        <w:t xml:space="preserve">(1) Die Daten über hochradioaktive Strahlenquellen, die auf Grund dieses Gesetzes oder einer Rechtsverordnung nach § 89 Satz 1 Nummer 1 erhoben werden, werden zum Zweck der Sicherheit und Kontrolle von Strahlenquellen zum Schutz von Leben und Gesundheit in einem beim Bundesamt für Strahlenschutz eingerichteten Register erfasst.</w:t>
      </w:r>
    </w:p>
    <w:p>
      <w:r>
        <w:t xml:space="preserve">(2) In das Register werden insbesondere folgende Angaben über die hochradioaktive Strahlenquelle, deren Kontrolle und über erteilte Genehmigungen nach diesem Gesetz, dem Atomgesetz oder einer Rechtsverordnung nach § 30 dieses Gesetzes oder § 11 Absatz 1 Nummer 6 des Atomgesetzes eingetragen:</w:t>
      </w:r>
    </w:p>
    <w:p>
      <w:pPr>
        <w:ind w:left="420"/>
      </w:pPr>
      <w:r>
        <w:t xml:space="preserve">1. Inhaber der Genehmigung, Ausstellungsdatum und Befristung der Genehmigung,</w:t>
      </w:r>
    </w:p>
    <w:p>
      <w:pPr>
        <w:ind w:left="420"/>
      </w:pPr>
      <w:r>
        <w:t xml:space="preserve">2. Identifizierungsnummer der hochradioaktiven Strahlenquelle,</w:t>
      </w:r>
    </w:p>
    <w:p>
      <w:pPr>
        <w:ind w:left="420"/>
      </w:pPr>
      <w:r>
        <w:t xml:space="preserve">3. Eigenschaften, Kontrollen und Verwendung der hochradioaktiven Strahlenquelle,</w:t>
      </w:r>
    </w:p>
    <w:p>
      <w:pPr>
        <w:ind w:left="420"/>
      </w:pPr>
      <w:r>
        <w:t xml:space="preserve">4. Ort des Umgangs mit der hochradioaktiven Strahlenquelle oder Ort ihrer Lagerung,</w:t>
      </w:r>
    </w:p>
    <w:p>
      <w:pPr>
        <w:ind w:left="420"/>
      </w:pPr>
      <w:r>
        <w:t xml:space="preserve">5. Erlangung oder Aufgabe der Sachherrschaft über die hochradioaktive Strahlenquelle,</w:t>
      </w:r>
    </w:p>
    <w:p>
      <w:pPr>
        <w:ind w:left="420"/>
      </w:pPr>
      <w:r>
        <w:t xml:space="preserve">6. Verlust, Diebstahl oder Fund der hochradioaktiven Strahlenquelle.</w:t>
      </w:r>
    </w:p>
    <w:p>
      <w:r>
        <w:t xml:space="preserve">(3) Lesenden Zugriff auf das Register haben die nach den §§ 184, 185, 188, 190 und 191 zuständigen Behörden, die nach § 24 des Atomgesetzes zuständigen Behörden, das Bundesministerium für Umwelt, Naturschutz und nukleare Sicherheit und das Bundesamt für Bevölkerungsschutz und Katastrophenhilfe. Lesenden Zugriff haben zum Zweck der sofortigen Ermittlung eines Inhabers und der Eigenschaften einer hochradioaktiven Strahlenquelle auf Grund von Fund, Verlust oder der Gefahr missbräuchlicher Verwendung und bei Hinweisen und Ermittlungen im Zusammenhang mit der Bekämpfung des Nuklearterrorismus oder der Nuklearkriminalität sowie des Nuklearschmuggels oder des sonstigen illegalen grenzüberschreitenden Verbringens hochradioaktiver Strahlenquellen auch das Bundeskriminalamt und die Landeskriminalämter, die in der Rechtsverordnung nach § 58 Absatz 1 des Bundespolizeigesetzes bestimmte Bundespolizeibehörde, das Zollkriminalamt und die Verfassungsschutzbehörden des Bundes und der Länder gemäß ihren jeweiligen gesetzlichen Zuständigkeiten.</w:t>
      </w:r>
    </w:p>
    <w:p>
      <w:r>
        <w:t xml:space="preserve">(4) Auskünfte aus dem Register dürfen erteilt werden</w:t>
      </w:r>
    </w:p>
    <w:p>
      <w:pPr>
        <w:ind w:left="420"/>
      </w:pPr>
      <w:r>
        <w:t xml:space="preserve">1. den sonstigen Polizeibehörden der Länder, den Zollbehörden, dem Militärischen Abschirmdienst und dem Bundesnachrichtendienst, soweit es für die Wahrnehmung der jeweiligen Aufgaben erforderlich ist,</w:t>
      </w:r>
    </w:p>
    <w:p>
      <w:pPr>
        <w:ind w:left="420"/>
      </w:pPr>
      <w:r>
        <w:t xml:space="preserve">2. Behörden anderer Staaten mit vergleichbaren Aufgaben und internationalen Organisationen, soweit es für die Wahrnehmung der jeweiligen Aufgaben erforderlich ist und bindende Beschlüsse der Europäischen Union dies vorsehen oder dies auf Grund sonstiger internationaler Vereinbarungen geboten ist.</w:t>
      </w:r>
    </w:p>
    <w:p>
      <w:r>
        <w:t xml:space="preserve">(5) Die im Register gespeicherten Daten sind nach der letzten Aktualisierung der Angaben über eine hochradioaktive Strahlenquelle 30 Jahre lang aufzubewahren.</w:t>
      </w:r>
    </w:p>
    <w:p>
      <w:r>
        <w:t xml:space="preserve">(6) Die Bundesregierung wird ermächtigt, durch Rechtsverordnung mit Zustimmung des Bundesrates das Nähere festzulegen über</w:t>
      </w:r>
    </w:p>
    <w:p>
      <w:pPr>
        <w:ind w:left="420"/>
      </w:pPr>
      <w:r>
        <w:t xml:space="preserve">1. Inhalt und Form der Datenerhebung und der Eintragung, über Zugriffsrechte und das Verfahren der Erteilung von Auskünften,</w:t>
      </w:r>
    </w:p>
    <w:p>
      <w:pPr>
        <w:ind w:left="420"/>
      </w:pPr>
      <w:r>
        <w:t xml:space="preserve">2. Zugriffsrechte der Genehmigungsinhaber auf die sie betreffenden Daten und</w:t>
      </w:r>
    </w:p>
    <w:p>
      <w:pPr>
        <w:ind w:left="420"/>
      </w:pPr>
      <w:r>
        <w:t xml:space="preserve">3. die Übermittlung, Berichtigung, Einschränkung der Verarbeitung und Löschung von Daten.</w:t>
      </w:r>
    </w:p>
    <w:p>
      <w:r>
        <w:rPr>
          <w:color w:val="555555"/>
          <w:sz w:val="17"/>
        </w:rPr>
        <w:t xml:space="preserve">Zitiervorschlag: § 88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