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StrlSchG — Grenzwerte für beruflich exponierte Personen</w:t>
      </w:r>
    </w:p>
    <w:p>
      <w:r>
        <w:rPr>
          <w:color w:val="555555"/>
          <w:sz w:val="18"/>
        </w:rPr>
        <w:t xml:space="preserve">Strahlenschutzgesetz</w:t>
      </w:r>
    </w:p>
    <w:p>
      <w:r>
        <w:rPr>
          <w:color w:val="555555"/>
          <w:sz w:val="18"/>
        </w:rPr>
        <w:t xml:space="preserve">Stand: 10.06.2019 (konsolidierte Textfassung, kein amtliches Inkrafttretensdatum)</w:t>
      </w:r>
    </w:p>
    <w:p>
      <w:r>
        <w:t xml:space="preserve">(1) Der Grenzwert der effektiven Dosis beträgt für beruflich exponierte Personen 20 Millisievert im Kalenderjahr. Die zuständige Behörde kann im Einzelfall für ein einzelnes Jahr eine effektive Dosis von 50 Millisievert zulassen, wobei in fünf aufeinander folgenden Jahren insgesamt 100 Millisievert nicht überschritten werden dürfen.</w:t>
      </w:r>
    </w:p>
    <w:p>
      <w:r>
        <w:t xml:space="preserve">(2) Der Grenzwert der Organ-Äquivalentdosis beträgt für beruflich exponierte Personen</w:t>
      </w:r>
    </w:p>
    <w:p>
      <w:pPr>
        <w:ind w:left="420"/>
      </w:pPr>
      <w:r>
        <w:t xml:space="preserve">1. für die Augenlinse 20 Millisievert im Kalenderjahr,</w:t>
      </w:r>
    </w:p>
    <w:p>
      <w:pPr>
        <w:ind w:left="420"/>
      </w:pPr>
      <w:r>
        <w:t xml:space="preserve">2. für die Haut, gemittelt über jede beliebige Hautfläche von einem Quadratzentimeter, unabhängig von der exponierten Fläche, (lokale Hautdosis) 500 Millisievert im Kalenderjahr und</w:t>
      </w:r>
    </w:p>
    <w:p>
      <w:pPr>
        <w:ind w:left="420"/>
      </w:pPr>
      <w:r>
        <w:t xml:space="preserve">3. für die Hände, die Unterarme, die Füße und Knöchel jeweils 500 Millisievert im Kalenderjahr.</w:t>
      </w:r>
    </w:p>
    <w:p>
      <w:r>
        <w:t xml:space="preserve">Für die Organ-Äquivalentdosis der Augenlinse gilt Absatz 1 Satz 2 entsprechend.</w:t>
      </w:r>
    </w:p>
    <w:p>
      <w:r>
        <w:t xml:space="preserve">(3) Für beruflich exponierte Personen unter 18 Jahren beträgt der Grenzwert der effektiven Dosis 1 Millisievert im Kalenderjahr. Der Grenzwert der Organ-Äquivalentdosis beträgt</w:t>
      </w:r>
    </w:p>
    <w:p>
      <w:pPr>
        <w:ind w:left="420"/>
      </w:pPr>
      <w:r>
        <w:t xml:space="preserve">1. für die Augenlinse 15 Millisievert im Kalenderjahr,</w:t>
      </w:r>
    </w:p>
    <w:p>
      <w:pPr>
        <w:ind w:left="420"/>
      </w:pPr>
      <w:r>
        <w:t xml:space="preserve">2. für die lokale Hautdosis 50 Millisievert im Kalenderjahr,</w:t>
      </w:r>
    </w:p>
    <w:p>
      <w:pPr>
        <w:ind w:left="420"/>
      </w:pPr>
      <w:r>
        <w:t xml:space="preserve">3. für die Hände, die Unterarme, die Füße und Knöchel jeweils 50 Millisievert im Kalenderjahr.</w:t>
      </w:r>
    </w:p>
    <w:p>
      <w:r>
        <w:t xml:space="preserve">Abweichend davon kann die zuständige Behörde für Auszubildende und Studierende im Alter zwischen 16 und 18 Jahren einen Grenzwert von 6 Millisievert im Kalenderjahr für die effektive Dosis und jeweils 150 Millisievert im Kalenderjahr für die Organ-Äquivalentdosis der Haut, der Hände, der Unterarme, der Füße und Knöchel zulassen, wenn dies zur Erreichung des Ausbildungszieles notwendig ist.</w:t>
      </w:r>
    </w:p>
    <w:p>
      <w:r>
        <w:t xml:space="preserve">(4) Bei gebärfähigen Frauen beträgt der Grenzwert für die Organ-Äquivalentdosis der Gebärmutter 2 Millisievert im Monat. Für ein ungeborenes Kind, das auf Grund der Beschäftigung der Mutter einer Exposition ausgesetzt ist, beträgt der Grenzwert der effektiven Dosis vom Zeitpunkt der Mitteilung über die Schwangerschaft bis zu deren Ende 1 Millisievert.</w:t>
      </w:r>
    </w:p>
    <w:p>
      <w:r>
        <w:t xml:space="preserve">(5) Die Befugnis der zuständigen Behörde nach der Rechtsverordnung nach § 79 Absatz 1 Satz 2 Nummer 1, unter außergewöhnlichen, im Einzelfall zu beurteilenden Umständen zur Durchführung notwendiger spezifischer Arbeitsvorgänge Expositionen zuzulassen, die von den Grenzwerten der Absätze 1 und 2 und Absatz 4 Satz 1 abweichen, bleibt unberührt.</w:t>
      </w:r>
    </w:p>
    <w:p>
      <w:r>
        <w:rPr>
          <w:color w:val="555555"/>
          <w:sz w:val="17"/>
        </w:rPr>
        <w:t xml:space="preserve">Zitiervorschlag: § 78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