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StrlSchG — Erforderliche Fachkunde und Kenntnisse im Strahlenschutz; Verordnungsermächtigungen</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erforderliche Fachkunde im Strahlenschutz wird in der Regel durch eine für das jeweilige Anwendungsgebiet geeignete Ausbildung, durch praktische Erfahrung und durch die erfolgreiche Teilnahme an von der zuständigen Stelle anerkannten Kursen erworben.</w:t>
      </w:r>
    </w:p>
    <w:p>
      <w:r>
        <w:t xml:space="preserve">(2) Die erforderlichen Kenntnisse im Strahlenschutz werden in der Regel durch eine für das jeweilige Anwendungsgebiet geeignete Einweisung und durch praktische Erfahrung erworben. Die in einer Rechtsverordnung nach Absatz 4 Nummer 5 bestimmten Personen erwerben in der Regel die erforderlichen Kenntnisse im Strahlenschutz durch eine geeignete Ausbildung, durch praktische Erfahrung und durch die erfolgreiche Teilnahme an von der zuständigen Stelle anerkannten Kursen.</w:t>
      </w:r>
    </w:p>
    <w:p>
      <w:r>
        <w:t xml:space="preserve">(3) Die Bundesregierung wird ermächtigt, durch Rechtsverordnung mit Zustimmung des Bundesrates Näheres über die erforderliche Fachkunde und die erforderlichen Kenntnisse im Strahlenschutz in Abhängigkeit von dem Anwendungsgebiet und den Aufgaben der Person, die die erforderliche Fachkunde im Strahlenschutz oder die erforderlichen Kenntnisse im Strahlenschutz besitzen muss, festzulegen.</w:t>
      </w:r>
    </w:p>
    <w:p>
      <w:r>
        <w:t xml:space="preserve">(4) Die Bundesregierung wird auch ermächtigt, durch Rechtsverordnung mit Zustimmung des Bundesrates zu bestimmen,</w:t>
      </w:r>
    </w:p>
    <w:p>
      <w:pPr>
        <w:ind w:left="420"/>
      </w:pPr>
      <w:r>
        <w:t xml:space="preserve">1. welche Nachweise über die erforderliche Fachkunde im Strahlenschutz oder die erforderlichen Kenntnisse im Strahlenschutz zu erbringen sind,</w:t>
      </w:r>
    </w:p>
    <w:p>
      <w:pPr>
        <w:ind w:left="420"/>
      </w:pPr>
      <w:r>
        <w:t xml:space="preserve">2. dass und auf welche Weise das Vorliegen der erforderlichen Fachkunde im Strahlenschutz oder der erforderlichen Kenntnisse im Strahlenschutz geprüft und bescheinigt wird,</w:t>
      </w:r>
    </w:p>
    <w:p>
      <w:pPr>
        <w:ind w:left="420"/>
      </w:pPr>
      <w:r>
        <w:t xml:space="preserve">3. welche Anforderungen an die Anerkennung von Kursen zum Erwerb der erforderlichen Fachkunde im Strahlenschutz oder der erforderlichen Kenntnisse im Strahlenschutz, an die Anerkennung einer Berufsausbildung, die den Erwerb der erforderlichen Fachkunde im Strahlenschutz oder der erforderlichen Kenntnisse im Strahlenschutz beinhaltet, sowie an Kurse zu ihrer Aktualisierung zu stellen sind,</w:t>
      </w:r>
    </w:p>
    <w:p>
      <w:pPr>
        <w:ind w:left="420"/>
      </w:pPr>
      <w:r>
        <w:t xml:space="preserve">4. welche Inhalte in den Kursen zum Erwerb der erforderlichen Fachkunde im Strahlenschutz oder der erforderlichen Kenntnisse im Strahlenschutz und zu ihrer Aktualisierung zu vermitteln sind,</w:t>
      </w:r>
    </w:p>
    <w:p>
      <w:pPr>
        <w:ind w:left="420"/>
      </w:pPr>
      <w:r>
        <w:t xml:space="preserve">5. welche Personen die erforderlichen Kenntnisse im Strahlenschutz nach Absatz 2 Satz 2 zu erwerben haben,</w:t>
      </w:r>
    </w:p>
    <w:p>
      <w:pPr>
        <w:ind w:left="420"/>
      </w:pPr>
      <w:r>
        <w:t xml:space="preserve">6. dass, in welchen Abständen und auf welche Weise Personen die erforderliche Fachkunde oder Kenntnisse im Strahlenschutz zu aktualisieren haben,</w:t>
      </w:r>
    </w:p>
    <w:p>
      <w:pPr>
        <w:ind w:left="420"/>
      </w:pPr>
      <w:r>
        <w:t xml:space="preserve">7. unter welchen Voraussetzungen eine vergleichbare Fachkunde im Strahlenschutz oder vergleichbare Kenntnisse im Strahlenschutz, die außerhalb des Geltungsbereichs dieses Gesetzes erworben wurden, oder die Teilnahme an einem Kurs, der außerhalb des Geltungsbereichs dieses Gesetzes stattgefunden hat, anerkannt werden können,</w:t>
      </w:r>
    </w:p>
    <w:p>
      <w:pPr>
        <w:ind w:left="420"/>
      </w:pPr>
      <w:r>
        <w:t xml:space="preserve">8. unter welchen Voraussetzungen die zuständige Stelle eine Bescheinigung über die erforderliche Fachkunde im Strahlenschutz oder die erforderlichen Kenntnisse im Strahlenschutz entziehen kann, die Fortgeltung der Bescheinigung mit Auflagen versehen kann oder eine Überprüfung der Fachkunde oder der Kenntnisse veranlassen kann und</w:t>
      </w:r>
    </w:p>
    <w:p>
      <w:pPr>
        <w:ind w:left="420"/>
      </w:pPr>
      <w:r>
        <w:t xml:space="preserve">9. welche Pflichten für Kursanbieter in Bezug auf die Zusammenarbeit mit den zuständigen Stellen und Behörden gelten.</w:t>
      </w:r>
    </w:p>
    <w:p>
      <w:r>
        <w:rPr>
          <w:color w:val="555555"/>
          <w:sz w:val="17"/>
        </w:rPr>
        <w:t xml:space="preserve">Zitiervorschlag: § 74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