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StrlSchG — Entfernung von Kontaminationen von Grundstücken</w:t>
      </w:r>
    </w:p>
    <w:p>
      <w:r>
        <w:rPr>
          <w:color w:val="555555"/>
          <w:sz w:val="18"/>
        </w:rPr>
        <w:t xml:space="preserve">Strahlenschutzgesetz</w:t>
      </w:r>
    </w:p>
    <w:p>
      <w:r>
        <w:rPr>
          <w:color w:val="555555"/>
          <w:sz w:val="18"/>
        </w:rPr>
        <w:t xml:space="preserve">Stand: 10.06.2019 (konsolidierte Textfassung, kein amtliches Inkrafttretensdatum)</w:t>
      </w:r>
    </w:p>
    <w:p>
      <w:r>
        <w:t xml:space="preserve">(1) Wer industrielle oder bergbauliche Prozesse, bei denen überwachungsbedürftige Rückstände angefallen sind, beendet, hat Kontaminationen durch überwachungsbedürftige Rückstände vor Nutzung des Grundstücks durch Dritte, spätestens jedoch fünf Jahre nach Beendigung der Nutzung, so zu entfernen, dass die Rückstände keine Einschränkung der Nutzung begründen. Maßstab für eine Grundstücksnutzung ohne Einschränkungen ist, dass die Exposition, der Einzelpersonen der Bevölkerung durch die nicht entfernten Rückstände ausgesetzt sind, den Richtwert einer effektiven Dosis von 1 Millisievert im Kalenderjahr nicht überschreitet.</w:t>
      </w:r>
    </w:p>
    <w:p>
      <w:r>
        <w:t xml:space="preserve">(2) Der nach Absatz 1 Satz 1 Verpflichtete hat der zuständigen Behörde den Abschluss der Entfernung der Kontaminationen unter Beifügung geeigneter Nachweise nach Satz 2 innerhalb von drei Monaten mitzuteilen. Der Nachweis nach Satz 1 ist unter Anwendung der Grundsätze, die in einer Rechtsverordnung nach § 62 Absatz 6 Nummer 1 festgelegt werden, zu erbringen. Die Behörde kann verlangen, dass der Verbleib der entfernten Kontaminationen nachgewiesen wird.</w:t>
      </w:r>
    </w:p>
    <w:p>
      <w:r>
        <w:t xml:space="preserve">(3) Die zuständige Behörde kann im Einzelfall ganz oder teilweise von der Pflicht nach Absatz 1 befreien, wenn die vorgesehene Nutzung des Grundstücks oder Schutzmaßnahmen eine Exposition von mehr als 1 Millisievert effektive Dosis im Kalenderjahr für Einzelpersonen der Bevölkerung auch ohne Entfernung der Kontaminationen verhindern. Sie kann die Durchführung der Pflicht nach Absatz 1 auch zu einem späteren Zeitpunkt gestatten, wenn auf dem Grundstück weiterhin industrielle oder bergbauliche Prozesse nach § 61 Absatz 1 durchgeführt werden sollen.</w:t>
      </w:r>
    </w:p>
    <w:p>
      <w:r>
        <w:rPr>
          <w:color w:val="555555"/>
          <w:sz w:val="17"/>
        </w:rPr>
        <w:t xml:space="preserve">Zitiervorschlag: § 64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