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StrlSchG — In der Überwachung verbleibende Rückstände;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Ist eine Entlassung aus der Überwachung nach § 62 Absatz 2 nicht möglich, so hat der nach § 61 Absatz 1 Satz 1 Verpflichtete der zuständigen Behörde Art, Masse und spezifische Aktivität der in der Überwachung verbleibenden Rückstände sowie eine geplante Beseitigung oder Verwertung dieser Rückstände oder die Abgabe zu diesem Zweck innerhalb der Frist nach Satz 2 anzuzeigen. Die Anzeige hat nach Ablehnung eines Antrags nach § 62 Absatz 2 innerhalb eines Monats, anderenfalls unverzüglich, nachdem der Verpflichtete die Überwachungsbedürftigkeit nach § 61 Absatz 2 festgestellt hat, zu erfolgen.</w:t>
      </w:r>
    </w:p>
    <w:p>
      <w:r>
        <w:t xml:space="preserve">(2) Die zuständige Behörde kann anordnen, dass und welche Schutzmaßnahmen zu treffen sind und wie die in der Überwachung verbleibenden Rückstände bei einer von ihr zu bestimmenden Stelle weiter zu behandeln oder zu lagern sind.</w:t>
      </w:r>
    </w:p>
    <w:p>
      <w:r>
        <w:t xml:space="preserve">(3) Die Bundesregierung wird ermächtigt, durch Rechtsverordnung mit Zustimmung des Bundesrates festzulegen, auf welche Weise in der Überwachung verbleibende Rückstände zu beseitigen sind.</w:t>
      </w:r>
    </w:p>
    <w:p>
      <w:r>
        <w:rPr>
          <w:color w:val="555555"/>
          <w:sz w:val="17"/>
        </w:rPr>
        <w:t xml:space="preserve">Zitiervorschlag: § 63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