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StrlSchG — Anfall, Verwertung oder Beseitigung von Rückständen</w:t>
      </w:r>
    </w:p>
    <w:p>
      <w:r>
        <w:rPr>
          <w:color w:val="555555"/>
          <w:sz w:val="18"/>
        </w:rPr>
        <w:t xml:space="preserve">Strahlenschutzgesetz</w:t>
      </w:r>
    </w:p>
    <w:p>
      <w:r>
        <w:rPr>
          <w:color w:val="555555"/>
          <w:sz w:val="18"/>
        </w:rPr>
        <w:t xml:space="preserve">Stand: 10.06.2019 (konsolidierte Textfassung, kein amtliches Inkrafttretensdatum)</w:t>
      </w:r>
    </w:p>
    <w:p>
      <w:r>
        <w:t xml:space="preserve">(1) Wer in seiner Betriebsstätte industrielle und bergbauliche Prozesse durchführt oder durchführen lässt, bei denen jährlich mehr als insgesamt 2 000 Tonnen an Rückständen anfallen werden und verwertet oder beseitigt werden sollen, hat dies bei der zuständigen Behörde und der nach § 47 Absatz 1 Satz 1 des Kreislaufwirtschaftsgesetzes zuständigen Behörde zu Beginn jedes Kalenderjahrs anzumelden. Die Anmeldepflicht gilt entsprechend für denjenigen, der überwachungsbedürftige Rückstände, die im Ausland angefallen und ins Inland verbracht worden sind, verwertet oder zur Verwertung annimmt.</w:t>
      </w:r>
    </w:p>
    <w:p>
      <w:r>
        <w:t xml:space="preserve">(2) Der zur Anmeldung nach Absatz 1 Verpflichtete hat ein Konzept über die Verwertung und Beseitigung der Rückstände (Rückstandskonzept) zu erstellen und der zuständigen Behörde auf Verlangen vorzulegen. Das Rückstandskonzept hat Folgendes zu enthalten:</w:t>
      </w:r>
    </w:p>
    <w:p>
      <w:pPr>
        <w:ind w:left="420"/>
      </w:pPr>
      <w:r>
        <w:t xml:space="preserve">1. Angaben über Art, Masse, spezifische Aktivität und Verbleib der Rückstände, einschließlich Schätzungen der in den nächsten fünf Jahren anfallenden Rückstände, und</w:t>
      </w:r>
    </w:p>
    <w:p>
      <w:pPr>
        <w:ind w:left="420"/>
      </w:pPr>
      <w:r>
        <w:t xml:space="preserve">2. eine Darstellung der getroffenen und für die nächsten fünf Jahre geplanten Beseitigungs- oder Verwertungsmaßnahmen.</w:t>
      </w:r>
    </w:p>
    <w:p>
      <w:r>
        <w:t xml:space="preserve">(3) Das Rückstandskonzept ist alle fünf Jahre oder auf Verlangen der zuständigen Behörde zu einem früheren Zeitpunkt fortzuschreiben.</w:t>
      </w:r>
    </w:p>
    <w:p>
      <w:r>
        <w:t xml:space="preserve">(4) Der zur Anmeldung nach Absatz 1 Verpflichtete hat jährlich für das vorangegangene Jahr eine Bilanz über Art, Masse, spezifische Aktivität und Verbleib der verwerteten und beseitigten Rückstände (Rückstandsbilanz) zu erstellen, fünf Jahre lang aufzubewahren und der zuständigen Behörde auf Verlangen vorzulegen. Ergänzend kann die zuständige Behörde die Vorlage entsprechender Nachweise nach § 21 des Kreislaufwirtschaftsgesetzes verlangen.</w:t>
      </w:r>
    </w:p>
    <w:p>
      <w:r>
        <w:t xml:space="preserve">(5) Die zuständige Behörde kann verlangen, dass Form und Inhalt des Rückstandskonzeptes und der Rückstandsbilanz bestimmten Anforderungen genügen, und die sachliche Richtigkeit überprüfen.</w:t>
      </w:r>
    </w:p>
    <w:p>
      <w:r>
        <w:rPr>
          <w:color w:val="555555"/>
          <w:sz w:val="17"/>
        </w:rPr>
        <w:t xml:space="preserve">Zitiervorschlag: § 60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