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StrlSchG — Prüfung des angezeigten Betriebs von Luftfahrzeugen</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zuständige Behörde prüft die Unterlagen innerhalb von vier Wochen nach Eingang der Anzeige. Teilt die Behörde dem Anzeigenden vor Ablauf der Frist schriftlich mit, dass alle Nachweise nach § 50 Absatz 3 erbracht sind, so darf der Anzeigende die Tätigkeit bereits mit Erhalt der Mitteilung aufnehmen.</w:t>
      </w:r>
    </w:p>
    <w:p>
      <w:r>
        <w:t xml:space="preserve">(2) Die zuständige Behörde kann den angezeigten Betrieb untersagen, wenn</w:t>
      </w:r>
    </w:p>
    <w:p>
      <w:pPr>
        <w:ind w:left="420"/>
      </w:pPr>
      <w:r>
        <w:t xml:space="preserve">1. eine der nachzuweisenden Anforderungen nicht oder nicht mehr erfüllt ist; dies gilt nach Ablauf der Frist nach Absatz 1 nur, wenn nicht in angemessener Zeit Abhilfe geschaffen wird,</w:t>
      </w:r>
    </w:p>
    <w:p>
      <w:pPr>
        <w:ind w:left="420"/>
      </w:pPr>
      <w:r>
        <w:t xml:space="preserve">2. Tatsachen vorliegen, aus denen sich Bedenken gegen die Zuverlässigkeit der zur Anzeige verpflichteten Person, ihres gesetzlichen Vertreters oder, bei juristischen Personen oder sonstigen Personenvereinigungen, der nach Gesetz, Satzung oder Gesellschaftsvertrag zur Vertretung oder Geschäftsführung berechtigten Person oder des Strahlenschutzbeauftragten ergeben, oder</w:t>
      </w:r>
    </w:p>
    <w:p>
      <w:pPr>
        <w:ind w:left="420"/>
      </w:pPr>
      <w:r>
        <w:t xml:space="preserve">3. gegen die Vorschriften dieses Gesetzes oder der auf Grund dieses Gesetzes erlassenen Rechtsverordnungen oder gegen die hierauf beruhenden Anordnungen und Verfügungen der Aufsichtsbehörden erheblich oder wiederholt verstoßen wird und nicht in angemessener Zeit Abhilfe geschaffen wird.</w:t>
      </w:r>
    </w:p>
    <w:p>
      <w:r>
        <w:rPr>
          <w:color w:val="555555"/>
          <w:sz w:val="17"/>
        </w:rPr>
        <w:t xml:space="preserve">Zitiervorschlag: § 51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