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StrlSchG — Verordnungsermächtigung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</w:t>
      </w:r>
    </w:p>
    <w:p>
      <w:pPr>
        <w:ind w:left="420"/>
      </w:pPr>
      <w:r>
        <w:t xml:space="preserve">1. die technischen Anforderungen an die Bauartzulassung von Vorrichtungen festzulegen, die eine genehmigungs- und anzeigefreie Verwendung oder einen genehmigungsfreien Betrieb der bauartzugelassenen Vorrichtung erlauben,</w:t>
      </w:r>
    </w:p>
    <w:p>
      <w:pPr>
        <w:ind w:left="420"/>
      </w:pPr>
      <w:r>
        <w:t xml:space="preserve">2. festzulegen, unter welchen Voraussetzungen die für die Zulassung der Bauart zuständige Behörde Ausnahmen von den technischen Anforderungen nach Nummer 1 zulassen kann,</w:t>
      </w:r>
    </w:p>
    <w:p>
      <w:pPr>
        <w:ind w:left="420"/>
      </w:pPr>
      <w:r>
        <w:t xml:space="preserve">3. zu bestimmen, dass und auf welche Weise</w:t>
      </w:r>
    </w:p>
    <w:p>
      <w:pPr>
        <w:ind w:left="780"/>
      </w:pPr>
      <w:r>
        <w:t xml:space="preserve">a) Angaben über eine Bauartzulassung bekannt zu machen sind und</w:t>
      </w:r>
    </w:p>
    <w:p>
      <w:pPr>
        <w:ind w:left="780"/>
      </w:pPr>
      <w:r>
        <w:t xml:space="preserve">b) die Festlegung, dass eine bauartzugelassene Vorrichtung nicht weiter betrieben werden darf, bekannt zu machen ist,</w:t>
      </w:r>
    </w:p>
    <w:p>
      <w:pPr>
        <w:ind w:left="420"/>
      </w:pPr>
      <w:r>
        <w:t xml:space="preserve">4. die Pflichten des Inhabers einer Bauartzulassung festzulegen, einschließlich der Pflicht, die bauartzugelassene Vorrichtung, die radioaktive Stoffe enthält, nach Beendigung der Nutzung zurückzunehmen, und</w:t>
      </w:r>
    </w:p>
    <w:p>
      <w:pPr>
        <w:ind w:left="420"/>
      </w:pPr>
      <w:r>
        <w:t xml:space="preserve">5. die Pflichten des Inhabers einer bauartzugelassenen Vorrichtung festzulegen, einschließlich der Pflicht, die bauartzugelassene Vorrichtung nach Beendigung der Nutzung dem Inhaber zurückzugeben oder sie zu entsorgen.</w:t>
      </w:r>
    </w:p>
    <w:p>
      <w:r>
        <w:rPr>
          <w:color w:val="555555"/>
          <w:sz w:val="17"/>
        </w:rPr>
        <w:t xml:space="preserve">Zitiervorschlag: § 49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