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StrlSchG — Verfahren der Bauartzulassung</w:t>
      </w:r>
    </w:p>
    <w:p>
      <w:r>
        <w:rPr>
          <w:color w:val="555555"/>
          <w:sz w:val="18"/>
        </w:rPr>
        <w:t xml:space="preserve">Strahlenschutzgesetz</w:t>
      </w:r>
    </w:p>
    <w:p>
      <w:r>
        <w:rPr>
          <w:color w:val="555555"/>
          <w:sz w:val="18"/>
        </w:rPr>
        <w:t xml:space="preserve">Stand: 05.06.2021 (konsolidierte Textfassung, kein amtliches Inkrafttretensdatum)</w:t>
      </w:r>
    </w:p>
    <w:p>
      <w:r>
        <w:t xml:space="preserve">(1) Dem Antrag auf Zulassung einer Bauart sind die zur Prüfung erforderlichen Unterlagen, insbesondere die in Anlage 2 Teil G genannten Unterlagen, beizufügen.</w:t>
      </w:r>
    </w:p>
    <w:p>
      <w:r>
        <w:t xml:space="preserve">(2) Der Antragsteller hat der für die Zulassung der Bauart zuständigen Behörde auf Verlangen die zur Prüfung erforderlichen Baumuster zu überlassen. Bei einer Bauart einer Vorrichtung, die radioaktive Stoffe enthält, hat die zuständige Behörde vor ihrer Entscheidung die Bundesanstalt für Materialforschung und ‑prüfung zu Fragen der Dichtheit, der Werkstoffauswahl und der Konstruktion der Geräte oder Vorrichtungen sowie der Qualitätssicherung zu beteiligen.</w:t>
      </w:r>
    </w:p>
    <w:p>
      <w:r>
        <w:t xml:space="preserve">(3) Die für die Zulassung der Bauart zuständige Behörde übermittelt den Antrag gemäß § 45 Absatz 1 Nummer 1, 3, 4, 5, 6 oder 7 dem Bundesamt für Strahlenschutz, sofern die beabsichtigte Verwendung oder der beabsichtigte Betrieb der Vorrichtungen, Anlagen, Röntgeneinrichtungen oder Störstrahler, deren Bauartzulassung beantragt worden ist, eine neue Tätigkeitsart darstellt. Das Verfahren nach § 38 ist anzuwenden; bis zu dessen Abschluss setzt die für die Zulassung der Bauart zuständige Behörde das Verfahren der Bauartzulassung aus.</w:t>
      </w:r>
    </w:p>
    <w:p>
      <w:r>
        <w:t xml:space="preserve">(4) Die zuständige Behörde darf die Bauartzulassung nur erteilen, wenn</w:t>
      </w:r>
    </w:p>
    <w:p>
      <w:pPr>
        <w:ind w:left="420"/>
      </w:pPr>
      <w:r>
        <w:t xml:space="preserve">1. die Vorrichtung die in der Rechtsverordnung nach § 49 Nummer 1 und 2 festgelegten Anforderungen erfüllt,</w:t>
      </w:r>
    </w:p>
    <w:p>
      <w:pPr>
        <w:ind w:left="420"/>
      </w:pPr>
      <w:r>
        <w:t xml:space="preserve">2. keine Tatsachen vorliegen, aus denen sich Bedenken ergeben</w:t>
      </w:r>
    </w:p>
    <w:p>
      <w:pPr>
        <w:ind w:left="780"/>
      </w:pPr>
      <w:r>
        <w:t xml:space="preserve">a) gegen die Zuverlässigkeit des Herstellers oder Verbringers oder des für die Leitung der Herstellung Verantwortlichen oder</w:t>
      </w:r>
    </w:p>
    <w:p>
      <w:pPr>
        <w:ind w:left="780"/>
      </w:pPr>
      <w:r>
        <w:t xml:space="preserve">b) gegen die für die Herstellung erforderliche technische Erfahrung des für die Leitung der Herstellung Verantwortlichen,</w:t>
      </w:r>
    </w:p>
    <w:p>
      <w:pPr>
        <w:ind w:left="420"/>
      </w:pPr>
      <w:r>
        <w:t xml:space="preserve">3. überwiegende öffentliche Interessen der Bauartzulassung nicht entgegenstehen,</w:t>
      </w:r>
    </w:p>
    <w:p>
      <w:pPr>
        <w:ind w:left="420"/>
      </w:pPr>
      <w:r>
        <w:t xml:space="preserve">4. es sich bei der Verwendung oder dem Betrieb der bauartzuzulassenden Vorrichtung nicht um eine nicht gerechtfertigte Tätigkeitsart nach der Rechtsverordnung nach § 6 Absatz 3 handelt und</w:t>
      </w:r>
    </w:p>
    <w:p>
      <w:pPr>
        <w:ind w:left="420"/>
      </w:pPr>
      <w:r>
        <w:t xml:space="preserve">5. das Bundesamt für Strahlenschutz nicht in einer Stellungnahme nach § 38 Absatz 1 festgestellt hat, dass die beabsichtigte Verwendung oder der Betrieb der nach § 45 Absatz 1 Nummer 1, 3, 4, 5, 6 oder 7 bauartzuzulassenden Vorrichtung, der Anlage zur Erzeugung ionisierender Strahlung, der Röntgeneinrichtung oder des Störstrahlers eine nicht gerechtfertigte Tätigkeitsart darstellt.</w:t>
      </w:r>
    </w:p>
    <w:p>
      <w:r>
        <w:t xml:space="preserve">(5) Die Bauartzulassung wird auf längstens zehn Jahre befristet. Sie kann auf Antrag jeweils maximal um zehn Jahre verlängert werden.</w:t>
      </w:r>
    </w:p>
    <w:p>
      <w:r>
        <w:t xml:space="preserve">(6) Die zuständige Behörde soll über den Antrag auf Zulassung innerhalb von zwölf Monaten nach Eingang der vollständigen Antragsunterlagen entscheiden. Hat der Antragsteller der zuständigen Behörde auf deren Verlangen die zur Prüfung erforderlichen Baumuster überlassen, soll die zuständige Behörde über den Antrag innerhalb von zwölf Monaten nach Eingang der vollständigen Antragsunterlagen und des zur Prüfung erforderlichen Baumusters entscheiden.</w:t>
      </w:r>
    </w:p>
    <w:p>
      <w:r>
        <w:rPr>
          <w:color w:val="555555"/>
          <w:sz w:val="17"/>
        </w:rPr>
        <w:t xml:space="preserve">Zitiervorschlag: § 46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