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StrlSchG — Bauartzugelassene Vorrichtungen</w:t>
      </w:r>
    </w:p>
    <w:p>
      <w:r>
        <w:rPr>
          <w:color w:val="555555"/>
          <w:sz w:val="18"/>
        </w:rPr>
        <w:t xml:space="preserve">Strahlenschutzgesetz</w:t>
      </w:r>
    </w:p>
    <w:p>
      <w:r>
        <w:rPr>
          <w:color w:val="555555"/>
          <w:sz w:val="18"/>
        </w:rPr>
        <w:t xml:space="preserve">Stand: 05.06.2021 (konsolidierte Textfassung, kein amtliches Inkrafttretensdatum)</w:t>
      </w:r>
    </w:p>
    <w:p>
      <w:r>
        <w:t xml:space="preserve">(1) Die Bauart folgender Vorrichtungen kann auf Antrag des Herstellers oder Verbringers der Vorrichtung zugelassen werden (bauartzugelassene Vorrichtungen):</w:t>
      </w:r>
    </w:p>
    <w:p>
      <w:pPr>
        <w:ind w:left="420"/>
      </w:pPr>
      <w:r>
        <w:t xml:space="preserve">1. die Bauart einer Vorrichtung, die sonstige radioaktive Stoffe nach § 3 Absatz 1 enthält, oder eines Störstrahlers, wenn Strahlenschutz und Sicherheit der Vorrichtung eine genehmigungs- und anzeigefreie Verwendung nach der Rechtsverordnung nach § 49 Nummer 1 und 2 erlaubt,</w:t>
      </w:r>
    </w:p>
    <w:p>
      <w:pPr>
        <w:ind w:left="420"/>
      </w:pPr>
      <w:r>
        <w:t xml:space="preserve">2. die Bauart eines Röntgenstrahlers, wenn die strahlenschutztechnischen Eigenschaften den genehmigungsfreien Betrieb einer Röntgeneinrichtung mit diesem Röntgenstrahler nach der Rechtsverordnung nach § 49 Nummer 1 und 2 erlaubt,</w:t>
      </w:r>
    </w:p>
    <w:p>
      <w:pPr>
        <w:ind w:left="420"/>
      </w:pPr>
      <w:r>
        <w:t xml:space="preserve">3. die Bauart einer Röntgeneinrichtung als Basisschutzgerät, wenn das hohe Schutzniveau der Bauart, einschließlich möglicher Öffnungen im Schutzgehäuse zum Ein- und Ausbringen von Gegenständen, den genehmigungsfreien Betrieb der Röntgeneinrichtung nach der Rechtsverordnung nach § 49 Nummer 1 und 2 erlaubt,</w:t>
      </w:r>
    </w:p>
    <w:p>
      <w:pPr>
        <w:ind w:left="420"/>
      </w:pPr>
      <w:r>
        <w:t xml:space="preserve">4. die Bauart einer Röntgeneinrichtung als Hochschutzgerät, wenn das hohe Schutzniveau der Bauart den genehmigungsfreien Betrieb der Röntgeneinrichtung nach der Rechtsverordnung nach § 49 Nummer 1 und 2 erlaubt,</w:t>
      </w:r>
    </w:p>
    <w:p>
      <w:pPr>
        <w:ind w:left="420"/>
      </w:pPr>
      <w:r>
        <w:t xml:space="preserve">5. die Bauart einer Röntgeneinrichtung als Vollschutzgerät, wenn das besonders hohe Schutzniveau der Bauart den genehmigungsfreien Betrieb der Röntgeneinrichtung ohne Beaufsichtigung durch eine Person nach der Rechtsverordnung nach § 49 Nummer 1 und 2 erlaubt, die die erforderliche Fachkunde im Strahlenschutz besitzt,</w:t>
      </w:r>
    </w:p>
    <w:p>
      <w:pPr>
        <w:ind w:left="420"/>
      </w:pPr>
      <w:r>
        <w:t xml:space="preserve">6. die Bauart einer Röntgeneinrichtung als Schulröntgeneinrichtung, wenn die strahlenschutztechnische Funktion der Bauart den Betrieb der Röntgeneinrichtung in Zusammenhang mit dem Unterricht in Schulen nach der Rechtsverordnung nach § 49 Nummer 1 und 2 erlaubt,</w:t>
      </w:r>
    </w:p>
    <w:p>
      <w:pPr>
        <w:ind w:left="420"/>
      </w:pPr>
      <w:r>
        <w:t xml:space="preserve">7. die Bauart einer Anlage zur Erzeugung ionisierender Strahlung als Vollschutzanlage, wenn das besonders hohe Schutzniveau der Bauart den genehmigungsfreien Betrieb der Anlage ohne Beaufsichtigung durch eine Person, die die erforderliche Fachkunde im Strahlenschutz besitzt, nach der Rechtsverordnung nach § 49 Nummer 1 und 2 erlaubt.</w:t>
      </w:r>
    </w:p>
    <w:p>
      <w:r>
        <w:t xml:space="preserve">(2) Absatz 1 ist nicht auf Medizinprodukte oder Zubehör im Sinne der Verordnung (EU) 2017/745 anzuwenden. Absatz 1 Nummer 1 ist nicht auf Vorrichtungen anzuwenden, die hochradioaktive Strahlenquellen enthalten.</w:t>
      </w:r>
    </w:p>
    <w:p>
      <w:r>
        <w:rPr>
          <w:color w:val="555555"/>
          <w:sz w:val="17"/>
        </w:rPr>
        <w:t xml:space="preserve">Zitiervorschlag: § 45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