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StrlSchG — Voraussetzungen für die Erteilung der Genehmigung der grenzüber- schreitenden Verbringung von Konsumgütern</w:t>
      </w:r>
    </w:p>
    <w:p>
      <w:r>
        <w:rPr>
          <w:color w:val="555555"/>
          <w:sz w:val="18"/>
        </w:rPr>
        <w:t xml:space="preserve">Strahlenschutzgesetz</w:t>
      </w:r>
    </w:p>
    <w:p>
      <w:r>
        <w:rPr>
          <w:color w:val="555555"/>
          <w:sz w:val="18"/>
        </w:rPr>
        <w:t xml:space="preserve">Stand: 10.06.2019 (konsolidierte Textfassung, kein amtliches Inkrafttretensdatum)</w:t>
      </w:r>
    </w:p>
    <w:p>
      <w:r>
        <w:t xml:space="preserve">(1) Die zuständige Behörde hat die Genehmigung nach § 42 zu erteilen, wenn die Voraussetzungen für die Genehmigung der grenzüberschreitenden Verbringung radioaktiver Stoffe nach Maßgabe der Rechtsverordnung nach § 30 erfüllt sind. Bei Verbringung in den Geltungsbereich dieses Gesetzes müssen zusätzlich die Voraussetzungen des § 41 Absatz 1 Nummer 1 bis 6, 8 und 9 erfüllt sein. § 41 Absatz 2 und § 44 Satz 1 gelten entsprechend; dabei tritt der Verbringer an die Stelle des Herstellers im Sinne des § 44 Satz 1.</w:t>
      </w:r>
    </w:p>
    <w:p>
      <w:r>
        <w:t xml:space="preserve">(2) Die zuständige Behörde übermittelt einen Genehmigungsantrag für die Verbringung in den Geltungsbereich dieses Gesetzes dem Bundesamt für Strahlenschutz, sofern die beabsichtigte Verwendung oder Lagerung des Konsumguts, dem radioaktive Stoffe zugesetzt sind oder das aktiviert ist und für dessen grenzüberschreitende Verbringung die Genehmigung beantragt worden ist, eine neue Tätigkeitsart darstellt. Das Verfahren nach § 38 ist anzuwenden; bis zu dessen Abschluss setzt die zuständige Behörde das Genehmigungsverfahren aus.</w:t>
      </w:r>
    </w:p>
    <w:p>
      <w:r>
        <w:rPr>
          <w:color w:val="555555"/>
          <w:sz w:val="17"/>
        </w:rPr>
        <w:t xml:space="preserve">Zitiervorschlag: § 43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