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StrlSchG — Genehmigungsbedürftige grenzüberschreitende Verbringung von Konsumgütern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Konsumgüter, denen radioaktive Stoffe zugesetzt oder die aktiviert worden sind,</w:t>
      </w:r>
    </w:p>
    <w:p>
      <w:pPr>
        <w:ind w:left="420"/>
      </w:pPr>
      <w:r>
        <w:t xml:space="preserve">1. in den Geltungsbereich dieses Gesetzes oder</w:t>
      </w:r>
    </w:p>
    <w:p>
      <w:pPr>
        <w:ind w:left="420"/>
      </w:pPr>
      <w:r>
        <w:t xml:space="preserve">2. aus dem Geltungsbereich dieses Gesetzes in einen Staat, der nicht Mitgliedstaat der Europäischen Union ist,</w:t>
      </w:r>
    </w:p>
    <w:p>
      <w:r>
        <w:t xml:space="preserve">verbringt, bedarf der Genehmigung.</w:t>
      </w:r>
    </w:p>
    <w:p>
      <w:r>
        <w:t xml:space="preserve">(2) Absatz 1 gilt nicht für</w:t>
      </w:r>
    </w:p>
    <w:p>
      <w:pPr>
        <w:ind w:left="420"/>
      </w:pPr>
      <w:r>
        <w:t xml:space="preserve">1. die Verbringung von Waren im Reiseverkehr, die weder zum Handel noch zur gewerblichen Verwendung bestimmt sind,</w:t>
      </w:r>
    </w:p>
    <w:p>
      <w:pPr>
        <w:ind w:left="420"/>
      </w:pPr>
      <w:r>
        <w:t xml:space="preserve">2. die zollamtlich überwachte Durchfuhr,</w:t>
      </w:r>
    </w:p>
    <w:p>
      <w:pPr>
        <w:ind w:left="420"/>
      </w:pPr>
      <w:r>
        <w:t xml:space="preserve">3. Konsumgüter, deren Herstellung nach § 40 genehmigt ist und dabei nach § 41 Absatz 1 Nummer 2 Buchstabe b nachgewiesen wurde, dass für Einzelpersonen der Bevölkerung nur eine effektive Dosis im Bereich von 10 Mikrosievert im Kalenderjahr auftreten kann,</w:t>
      </w:r>
    </w:p>
    <w:p>
      <w:pPr>
        <w:ind w:left="420"/>
      </w:pPr>
      <w:r>
        <w:t xml:space="preserve">4. Produkte, in die Konsumgüter eingebaut sind, wenn die Herstellung der Konsumgüter nach § 40 oder deren Verbringung nach Absatz 1 genehmigt ist,</w:t>
      </w:r>
    </w:p>
    <w:p>
      <w:pPr>
        <w:ind w:left="420"/>
      </w:pPr>
      <w:r>
        <w:t xml:space="preserve">5. Konsumgüter, denen</w:t>
      </w:r>
    </w:p>
    <w:p>
      <w:pPr>
        <w:ind w:left="780"/>
      </w:pPr>
      <w:r>
        <w:t xml:space="preserve">a) aus der Luft gewonnene Edelgase zugesetzt sind, wenn das Isotopenverhältnis im Zusatz demjenigen in der Luft entspricht, oder</w:t>
      </w:r>
    </w:p>
    <w:p>
      <w:pPr>
        <w:ind w:left="780"/>
      </w:pPr>
      <w:r>
        <w:t xml:space="preserve">b) Radionuklide zugesetzt sind, für die keine Freigrenzen nach der Rechtsverordnung nach § 24 Satz 1 Nummer 10 festgelegt sind.</w:t>
      </w:r>
    </w:p>
    <w:p>
      <w:r>
        <w:t xml:space="preserve">(3) Dem Genehmigungsantrag sind die zur Prüfung erforderlichen Unterlagen, bei Verbringung in den Geltungsbereich dieses Gesetzes insbesondere die in Anlage 2 Teil F genannten Unterlagen, beizufügen.</w:t>
      </w:r>
    </w:p>
    <w:p>
      <w:r>
        <w:rPr>
          <w:color w:val="555555"/>
          <w:sz w:val="17"/>
        </w:rPr>
        <w:t xml:space="preserve">Zitiervorschlag: § 42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