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StrlSchG — Voraussetzungen für die Erteilung der Genehmigung des Zusatzes radioaktiver Stoffe oder der Aktivierung</w:t>
      </w:r>
    </w:p>
    <w:p>
      <w:r>
        <w:rPr>
          <w:color w:val="555555"/>
          <w:sz w:val="18"/>
        </w:rPr>
        <w:t xml:space="preserve">Strahlenschutzgesetz</w:t>
      </w:r>
    </w:p>
    <w:p>
      <w:r>
        <w:rPr>
          <w:color w:val="555555"/>
          <w:sz w:val="18"/>
        </w:rPr>
        <w:t xml:space="preserve">Stand: 10.06.2019 (konsolidierte Textfassung, kein amtliches Inkrafttretensdatum)</w:t>
      </w:r>
    </w:p>
    <w:p>
      <w:r>
        <w:t xml:space="preserve">(1) Die zuständige Behörde hat die Genehmigung nach § 40 bei der Herstellung von Konsumgütern zu erteilen, wenn</w:t>
      </w:r>
    </w:p>
    <w:p>
      <w:pPr>
        <w:ind w:left="420"/>
      </w:pPr>
      <w:r>
        <w:t xml:space="preserve">1. die Aktivität der zugesetzten radioaktiven Stoffe nach dem Stand der Technik so gering wie möglich ist,</w:t>
      </w:r>
    </w:p>
    <w:p>
      <w:pPr>
        <w:ind w:left="420"/>
      </w:pPr>
      <w:r>
        <w:t xml:space="preserve">2. nachgewiesen ist, dass</w:t>
      </w:r>
    </w:p>
    <w:p>
      <w:pPr>
        <w:ind w:left="780"/>
      </w:pPr>
      <w:r>
        <w:t xml:space="preserve">a) in dem Konsumgut die in einer Rechtsverordnung nach § 24 Satz 1 Nummer 10 festgelegten Freigrenzen der Aktivität nicht überschritten werden oder</w:t>
      </w:r>
    </w:p>
    <w:p>
      <w:pPr>
        <w:ind w:left="780"/>
      </w:pPr>
      <w:r>
        <w:t xml:space="preserve">b) für Einzelpersonen der Bevölkerung nur eine effektive Dosis im Bereich von 10 Mikrosievert im Kalenderjahr auftreten kann,</w:t>
      </w:r>
    </w:p>
    <w:p>
      <w:pPr>
        <w:ind w:left="420"/>
      </w:pPr>
      <w:r>
        <w:t xml:space="preserve">3. in einem Rücknahmekonzept dargelegt ist, dass das Konsumgut nach Gebrauch kostenlos dem Antragsteller oder einer von ihm benannten Stelle zurückgegeben werden kann, wenn</w:t>
      </w:r>
    </w:p>
    <w:p>
      <w:pPr>
        <w:ind w:left="780"/>
      </w:pPr>
      <w:r>
        <w:t xml:space="preserve">a) die spezifische Aktivität der zugesetzten künstlichen radioaktiven Stoffe in dem Konsumgut die in einer Rechtsverordnung nach § 24 Satz 1 Nummer 10 festgelegten Freigrenzen der spezifischen Aktivität überschreitet oder</w:t>
      </w:r>
    </w:p>
    <w:p>
      <w:pPr>
        <w:ind w:left="780"/>
      </w:pPr>
      <w:r>
        <w:t xml:space="preserve">b) die spezifische Aktivität der zugesetzten natürlichen radioaktiven Stoffe in dem Konsumgut 0,5 Becquerel je Gramm überschreitet,</w:t>
      </w:r>
    </w:p>
    <w:p>
      <w:pPr>
        <w:ind w:left="420"/>
      </w:pPr>
      <w:r>
        <w:t xml:space="preserve">4. das Material, das die radioaktiven Stoffe enthält, berührungssicher abgedeckt ist oder der radioaktive Stoff fest in das Konsumgut eingebettet ist und die Ortsdosisleistung im Abstand von 0,1 Metern von der berührbaren Oberfläche des Konsumguts 1 Mikrosievert durch Stunde unter normalen Nutzungsbedingungen nicht überschreitet,</w:t>
      </w:r>
    </w:p>
    <w:p>
      <w:pPr>
        <w:ind w:left="420"/>
      </w:pPr>
      <w:r>
        <w:t xml:space="preserve">5. gewährleistet ist, dass dem Konsumgut eine Information beigefügt wird, die</w:t>
      </w:r>
    </w:p>
    <w:p>
      <w:pPr>
        <w:ind w:left="780"/>
      </w:pPr>
      <w:r>
        <w:t xml:space="preserve">a) den radioaktiven Zusatz erläutert,</w:t>
      </w:r>
    </w:p>
    <w:p>
      <w:pPr>
        <w:ind w:left="780"/>
      </w:pPr>
      <w:r>
        <w:t xml:space="preserve">b) den bestimmungsgemäßen Gebrauch beschreibt und</w:t>
      </w:r>
    </w:p>
    <w:p>
      <w:pPr>
        <w:ind w:left="780"/>
      </w:pPr>
      <w:r>
        <w:t xml:space="preserve">c) auf die Rückführungspflicht nach § 44 und die zur Rücknahme verpflichtete Stelle hinweist,</w:t>
      </w:r>
    </w:p>
    <w:p>
      <w:pPr>
        <w:ind w:left="420"/>
      </w:pPr>
      <w:r>
        <w:t xml:space="preserve">falls die spezifische Aktivität der zugesetzten künstlichen radioaktiven Stoffe in dem Konsumgut die in einer Rechtsverordnung nach § 24 Satz 1 Nummer 10 festgelegten Freigrenzen der spezifischen Aktivität oder die spezifische Aktivität der zugesetzten natürlichen radioaktiven Stoffe in dem Konsumgut 0,5 Becquerel je Gramm überschreitet,</w:t>
      </w:r>
    </w:p>
    <w:p>
      <w:pPr>
        <w:ind w:left="420"/>
      </w:pPr>
      <w:r>
        <w:t xml:space="preserve">6. es sich bei dem Zusatz um sonstige radioaktive Stoffe nach § 3 Absatz 1 handelt,</w:t>
      </w:r>
    </w:p>
    <w:p>
      <w:pPr>
        <w:ind w:left="420"/>
      </w:pPr>
      <w:r>
        <w:t xml:space="preserve">7. beim Zusetzen die Voraussetzungen für eine Genehmigung des Umgangs nach § 13 Absatz 1 bis 3 erfüllt sind,</w:t>
      </w:r>
    </w:p>
    <w:p>
      <w:pPr>
        <w:ind w:left="420"/>
      </w:pPr>
      <w:r>
        <w:t xml:space="preserve">8. es sich bei der Verwendung des Konsumguts nicht um eine nicht gerechtfertigte Tätigkeitsart nach einer Rechtsverordnung nach § 6 Absatz 3 handelt und</w:t>
      </w:r>
    </w:p>
    <w:p>
      <w:pPr>
        <w:ind w:left="420"/>
      </w:pPr>
      <w:r>
        <w:t xml:space="preserve">9. das Bundesamt für Strahlenschutz nicht in einer Stellungnahme nach § 38 Absatz 1 festgestellt hat, dass die beabsichtigte Verwendung oder Lagerung des Konsumguts eine nicht gerechtfertigte Tätigkeitsart darstellt.</w:t>
      </w:r>
    </w:p>
    <w:p>
      <w:r>
        <w:t xml:space="preserve">(2) Die zuständige Behörde kann bei Konsumgütern, die überwiegend im beruflichen, nicht häuslichen Bereich genutzt werden, Abweichungen von Absatz 1 Nummer 2 Buchstabe a und Nummer 4 gestatten, sofern das Zehnfache der in einer Rechtsverordnung nach § 24 Satz 1 Nummer 10 festgelegten Freigrenze in einem einzelnen Konsumgut nicht überschritten wird.</w:t>
      </w:r>
    </w:p>
    <w:p>
      <w:r>
        <w:t xml:space="preserve">(3) Die zuständige Behörde hat die Genehmigung nach § 40 bei der Herstellung von Arzneimitteln im Sinne des § 2 des Arzneimittelgesetzes, von Schädlingsbekämpfungsmitteln, von Pflanzenschutzmitteln im Sinne des § 2 des Pflanzenschutzgesetzes und von Stoffen nach § 2 Satz 1 Nummer 1 bis 8 des Düngegesetzes zu erteilen, wenn</w:t>
      </w:r>
    </w:p>
    <w:p>
      <w:pPr>
        <w:ind w:left="420"/>
      </w:pPr>
      <w:r>
        <w:t xml:space="preserve">1. es sich bei dem Zusatz um sonstige radioaktive Stoffe nach § 3 Absatz 1 handelt,</w:t>
      </w:r>
    </w:p>
    <w:p>
      <w:pPr>
        <w:ind w:left="420"/>
      </w:pPr>
      <w:r>
        <w:t xml:space="preserve">2. nachgewiesen ist, dass in dem Arzneimittel im Sinne des § 2 des Arzneimittelgesetzes, dem Schädlingsbekämpfungsmittel, dem Pflanzenschutzmittel im Sinne des § 2 des Pflanzenschutzgesetzes oder dem Stoff nach § 2 Satz 1 Nummer 1 bis 8 des Düngegesetzes die in einer Rechtsverordnung nach § 24 Satz 1 Nummer 10 festgelegten Freigrenzen der Aktivität oder der spezifischen Aktivität nicht überschritten sind und</w:t>
      </w:r>
    </w:p>
    <w:p>
      <w:pPr>
        <w:ind w:left="420"/>
      </w:pPr>
      <w:r>
        <w:t xml:space="preserve">3. beim Zusetzen die Voraussetzungen des § 13 Absatz 1 bis 3 für eine Umgangsgenehmigung erfüllt sind.</w:t>
      </w:r>
    </w:p>
    <w:p>
      <w:r>
        <w:t xml:space="preserve">(4) Die Absätze 1 bis 3 gelten entsprechend für die Aktivierung der in diesen Absätzen genannten Produkte.</w:t>
      </w:r>
    </w:p>
    <w:p>
      <w:r>
        <w:t xml:space="preserve">(5) Die zuständige Behörde übermittelt den Genehmigungsantrag an das Bundesamt für Strahlenschutz, sofern die beabsichtigte Verwendung oder Lagerung des Konsumguts, für dessen Herstellung der Zusatz von radioaktiven Stoffen oder dessen Aktivierung beantragt worden ist, eine neue Tätigkeitsart darstellt. Das Verfahren nach § 38 ist anzuwenden; bis zu dessen Abschluss setzt die zuständige Behörde das Genehmigungsverfahren aus.</w:t>
      </w:r>
    </w:p>
    <w:p>
      <w:r>
        <w:rPr>
          <w:color w:val="555555"/>
          <w:sz w:val="17"/>
        </w:rPr>
        <w:t xml:space="preserve">Zitiervorschlag: § 41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