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StrlSchG — Genehmigungsbedürftiger Zusatz radioaktiver Stoffe und genehmigungsbedürftige Aktivierung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05.06.2021 (konsolidierte Textfassung, kein amtliches Inkrafttretensdatum)</w:t>
      </w:r>
    </w:p>
    <w:p>
      <w:r>
        <w:t xml:space="preserve">(1) Wer bei der Herstellung von Konsumgütern, von Arzneimitteln im Sinne des § 2 des Arzneimittelgesetzes mit Ausnahme von radioaktiven Arzneimitteln im Sinne des § 4 Absatz 8 des Arzneimittelgesetzes, von Schädlingsbekämpfungsmitteln, von Pflanzenschutzmitteln im Sinne des § 2 des Pflanzenschutzgesetzes oder von Stoffen nach § 2 Satz 1 Nummer 1 bis 8 des Düngegesetzes, die im Geltungsbereich dieses Gesetzes erworben oder an andere abgegeben werden sollen, radioaktive Stoffe zusetzt, bedarf der Genehmigung. Satz 1 gilt entsprechend für die Aktivierung der dort genannten Produkte. § 39 bleibt unberührt.</w:t>
      </w:r>
    </w:p>
    <w:p>
      <w:r>
        <w:t xml:space="preserve">(2) Die Genehmigung nach Absatz 1 ersetzt keine Genehmigung nach § 12 Absatz 1 Nummer 1 oder 3.</w:t>
      </w:r>
    </w:p>
    <w:p>
      <w:r>
        <w:t xml:space="preserve">(3) Eine Genehmigung nach Absatz 1 ist nicht erforderlich für den Zusatz von</w:t>
      </w:r>
    </w:p>
    <w:p>
      <w:pPr>
        <w:ind w:left="420"/>
      </w:pPr>
      <w:r>
        <w:t xml:space="preserve">1. aus der Luft gewonnenen Edelgasen, wenn das Isotopenverhältnis im Zusatz demjenigen in der Luft entspricht, oder</w:t>
      </w:r>
    </w:p>
    <w:p>
      <w:pPr>
        <w:ind w:left="420"/>
      </w:pPr>
      <w:r>
        <w:t xml:space="preserve">2. Radionukliden, für die keine Freigrenzen nach der Rechtsverordnung nach § 24 Satz 1 Nummer 10 festgelegt sind.</w:t>
      </w:r>
    </w:p>
    <w:p>
      <w:r>
        <w:t xml:space="preserve">(4) Dem Genehmigungsantrag sind die zur Prüfung erforderlichen Unterlagen, insbesondere die in Anlage 2 Teil B genannten Unterlagen, sowie bei der Herstellung von Konsumgütern die in Anlage 2 Teil F genannten Unterlagen, beizufügen.</w:t>
      </w:r>
    </w:p>
    <w:p>
      <w:r>
        <w:rPr>
          <w:color w:val="555555"/>
          <w:sz w:val="17"/>
        </w:rPr>
        <w:t xml:space="preserve">Zitiervorschlag: § 40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