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StrlSchG — Unzulässiger Zusatz radioaktiver Stoffe und unzulässige Aktivierung</w:t>
      </w:r>
    </w:p>
    <w:p>
      <w:r>
        <w:rPr>
          <w:color w:val="555555"/>
          <w:sz w:val="18"/>
        </w:rPr>
        <w:t xml:space="preserve">Strahlenschutzgesetz</w:t>
      </w:r>
    </w:p>
    <w:p>
      <w:r>
        <w:rPr>
          <w:color w:val="555555"/>
          <w:sz w:val="18"/>
        </w:rPr>
        <w:t xml:space="preserve">Stand: 10.06.2019 (konsolidierte Textfassung, kein amtliches Inkrafttretensdatum)</w:t>
      </w:r>
    </w:p>
    <w:p>
      <w:r>
        <w:t xml:space="preserve">(1) Der Zusatz radioaktiver Stoffe bei der Herstellung folgender Produkte ist unzulässig:</w:t>
      </w:r>
    </w:p>
    <w:p>
      <w:pPr>
        <w:ind w:left="420"/>
      </w:pPr>
      <w:r>
        <w:t xml:space="preserve">1. Spielwaren im Sinne des § 2 Absatz 6 Nummer 5 des Lebensmittel- und Futtermittelgesetzbuchs,</w:t>
      </w:r>
    </w:p>
    <w:p>
      <w:pPr>
        <w:ind w:left="420"/>
      </w:pPr>
      <w:r>
        <w:t xml:space="preserve">2. Schmuck,</w:t>
      </w:r>
    </w:p>
    <w:p>
      <w:pPr>
        <w:ind w:left="420"/>
      </w:pPr>
      <w:r>
        <w:t xml:space="preserve">3. Lebensmittel, einschließlich Trinkwasser und Lebensmittelzusatzstoffe, im Sinne des Lebensmittel- und Futtermittelgesetzbuchs,</w:t>
      </w:r>
    </w:p>
    <w:p>
      <w:pPr>
        <w:ind w:left="420"/>
      </w:pPr>
      <w:r>
        <w:t xml:space="preserve">4. Futtermittel im Sinne des Lebensmittel- und Futtermittelgesetzbuchs,</w:t>
      </w:r>
    </w:p>
    <w:p>
      <w:pPr>
        <w:ind w:left="420"/>
      </w:pPr>
      <w:r>
        <w:t xml:space="preserve">5. Erzeugnisse im Sinne von § 2 Nummer 1 des Tabakerzeugnisgesetzes,</w:t>
      </w:r>
    </w:p>
    <w:p>
      <w:pPr>
        <w:ind w:left="420"/>
      </w:pPr>
      <w:r>
        <w:t xml:space="preserve">6. Mittel zum Tätowieren einschließlich vergleichbarer Stoffe und Gemische aus Stoffen, die dazu bestimmt sind, zur Beeinflussung des Aussehens in oder unter die menschliche Haut eingebracht zu werden und dort, auch vorübergehend, zu verbleiben,</w:t>
      </w:r>
    </w:p>
    <w:p>
      <w:pPr>
        <w:ind w:left="420"/>
      </w:pPr>
      <w:r>
        <w:t xml:space="preserve">7. kosmetische Mittel,</w:t>
      </w:r>
    </w:p>
    <w:p>
      <w:pPr>
        <w:ind w:left="420"/>
      </w:pPr>
      <w:r>
        <w:t xml:space="preserve">8. Gasglühstrümpfe, soweit diese nicht zur Beleuchtung öffentlicher Straßen verwendet werden sollen,</w:t>
      </w:r>
    </w:p>
    <w:p>
      <w:pPr>
        <w:ind w:left="420"/>
      </w:pPr>
      <w:r>
        <w:t xml:space="preserve">9. Blitzschutzsysteme und</w:t>
      </w:r>
    </w:p>
    <w:p>
      <w:pPr>
        <w:ind w:left="420"/>
      </w:pPr>
      <w:r>
        <w:t xml:space="preserve">10. Lebensmittelbedarfsgegenstände im Sinne des § 2 Absatz 6 Nummer 1 des Lebensmittel- und Futtermittelgesetzbuchs.</w:t>
      </w:r>
    </w:p>
    <w:p>
      <w:r>
        <w:t xml:space="preserve">Die grenzüberschreitende Verbringung nach § 42 Absatz 1 von Produkten nach Satz 1, denen radioaktive Stoffe zugesetzt worden sind, sowie das Inverkehrbringen von solchen Produkten sind ebenfalls unzulässig. Die Sätze 1 und 2 gelten nicht für den Zusatz von Radionukliden, für die keine Freigrenzen festgelegt sind.</w:t>
      </w:r>
    </w:p>
    <w:p>
      <w:r>
        <w:t xml:space="preserve">(2) Absatz 1 Satz 1 und 2 gilt entsprechend für die Aktivierung derartiger Produkte, wenn dies zu einer spezifischen Aktivität im Produkt von mehr als 500 Mikrobecquerel je Gramm führt oder wenn bei Schmuck die in einer Rechtsverordnung nach § 24 Satz 1 Nummer 10 festgelegten Freigrenzen für die spezifische Aktivität überschritten werden.</w:t>
      </w:r>
    </w:p>
    <w:p>
      <w:r>
        <w:t xml:space="preserve">(3) Im Übrigen bleiben die Rechtsvorschriften für die in Absatz 1 Satz 1 Nummer 1 bis 10 genannten Produkte unberührt.</w:t>
      </w:r>
    </w:p>
    <w:p>
      <w:r>
        <w:rPr>
          <w:color w:val="555555"/>
          <w:sz w:val="17"/>
        </w:rPr>
        <w:t xml:space="preserve">Zitiervorschlag: § 39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