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StrlSchG — Rechtfertigung von Tätigkeitsarten mit Konsumgütern oder bauartzugelassenen Vorrichtungen; Verordnungsermächtigung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(1) Das Bundesamt für Strahlenschutz prüft innerhalb von zwölf Monaten nach Eingang eines von der zuständigen Behörde gemäß § 41 Absatz 5, § 43 Absatz 2 oder § 46 Absatz 3 weitergeleiteten Antrags die Rechtfertigung der Tätigkeitsart im Sinne des § 6 Absatz 1 und veröffentlicht eine Stellungnahme. Die Stellungnahme enthält eine Feststellung über die Rechtfertigung der Tätigkeitsart. In der Stellungnahme sind Betriebs- und Geschäftsgeheimnisse und personenbezogene Daten unkenntlich zu machen.</w:t>
      </w:r>
    </w:p>
    <w:p>
      <w:r>
        <w:t xml:space="preserve">(2) Die Bundesregierung wird ermächtigt, durch Rechtsverordnung mit Zustimmung des Bundesrates</w:t>
      </w:r>
    </w:p>
    <w:p>
      <w:pPr>
        <w:ind w:left="420"/>
      </w:pPr>
      <w:r>
        <w:t xml:space="preserve">1. zu bestimmen, welche Unterlagen der Antragsteller dem Bundesamt für Strahlenschutz vorzulegen hat,</w:t>
      </w:r>
    </w:p>
    <w:p>
      <w:pPr>
        <w:ind w:left="420"/>
      </w:pPr>
      <w:r>
        <w:t xml:space="preserve">2. Vorgaben über das Prüfungsverfahren nach Absatz 1, einschließlich der Beteiligung von Behörden, zu treffen,</w:t>
      </w:r>
    </w:p>
    <w:p>
      <w:pPr>
        <w:ind w:left="420"/>
      </w:pPr>
      <w:r>
        <w:t xml:space="preserve">3. zu bestimmen, welche Bewertungskriterien das Bundesamt für Strahlenschutz im Verfahren nach Absatz 1 besonders zu berücksichtigen hat,</w:t>
      </w:r>
    </w:p>
    <w:p>
      <w:pPr>
        <w:ind w:left="420"/>
      </w:pPr>
      <w:r>
        <w:t xml:space="preserve">4. zu regeln, dass die zuständigen Behörden dem Bundesamt für Strahlenschutz Informationen über erteilte Genehmigungen für Konsumgüter nach § 40 oder § 42 sowie Bauartzulassungen nach § 45 Absatz 1 Nummer 1, 3, 4, 5, 6 oder 7 übermitteln und auf welche Weise das Bundesamt für Strahlenschutz eine Liste mit den Angaben, für welche Tätigkeitsarten solche Genehmigungen oder Bauartzulassungen bereits erteilt wurden, veröffentlicht,</w:t>
      </w:r>
    </w:p>
    <w:p>
      <w:pPr>
        <w:ind w:left="420"/>
      </w:pPr>
      <w:r>
        <w:t xml:space="preserve">5. zu regeln, auf welche Weise das Bundesamt für Strahlenschutz die Stellungnahme über die Rechtfertigung der Tätigkeitsart veröffentlicht und</w:t>
      </w:r>
    </w:p>
    <w:p>
      <w:pPr>
        <w:ind w:left="420"/>
      </w:pPr>
      <w:r>
        <w:t xml:space="preserve">6. festzulegen, auf welche Weise das Bundesamt für Strahlenschutz die Stellungnahme an die zuständigen Behörden anderer Mitgliedstaaten der Europäischen Atomgemeinschaft sowie Drittstaaten weitergibt.</w:t>
      </w:r>
    </w:p>
    <w:p>
      <w:r>
        <w:rPr>
          <w:color w:val="555555"/>
          <w:sz w:val="17"/>
        </w:rPr>
        <w:t xml:space="preserve">Zitiervorschlag: § 38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