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36c StrlSchG — Prüfung einer sonstigen Anwendung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Finden weder § 36a noch § 36b Anwendung, hat der Antragsteller die Stellungnahme bei der nach Landesrecht zuständigen Ethik-Kommission zu beantragen. § 31a Absatz 2 und 3 Satz 1 gilt entsprechend.</w:t>
      </w:r>
    </w:p>
    <w:p>
      <w:r>
        <w:t xml:space="preserve">(2) Die zuständige Ethik-Kommission prüft die Vollständigkeit der Unterlagen innerhalb der Fristen nach § 31b Absatz 1 Satz 1 bis 3. § 31b Absatz 1 Satz 4 und 5 gilt entsprechend. Sie erstellt die Stellungnahme innerhalb der Fristen nach § 31b Absatz 2, Absatz 3 Satz 1 und 2 und Absatz 4 Satz 1. § 31b Absatz 3 Satz 3, Absatz 4 Satz 2 und Absatz 6 gilt entsprechend.</w:t>
      </w:r>
    </w:p>
    <w:p>
      <w:r>
        <w:t xml:space="preserve">(3) Die zuständige Ethik-Kommission übermittelt die Stellungnahme sowohl dem Antragsteller als auch der zuständigen Behörde.</w:t>
      </w:r>
    </w:p>
    <w:p>
      <w:r>
        <w:rPr>
          <w:color w:val="555555"/>
          <w:sz w:val="17"/>
        </w:rPr>
        <w:t xml:space="preserve">Zitiervorschlag: § 36c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https://recht.nulegal.eu/gesetze/StrlSchG/36c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