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36b StrlSchG — Prüfung einer anzeige- oder genehmigungsbedürftigen Anwendung im Rahmen einer klinischen Prüfung im Sinne des Artikels 2 Nummer 45 der Verordnung (EU) 2017/745 oder einer sonstigen klinischen Prüfung im Sinne des § 3 Nummer 4 des Medizinprodukterecht-Durchführungsgesetzes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Bevor der Antragsteller den Genehmigungsantrag oder der Anzeigende die Anzeige bei der zuständigen Behörde einreicht, hat er über das Deutsche Medizinprodukteinformations- und Datenbanksystem nach § 86 des Medizinprodukterecht-Durchführungsgesetzes die Stellungnahme bei der zuständigen Ethik-Kommission zu beantragen. Abweichend von Satz 1 kann der Antragsteller im Fall von § 31 Satz 2 oder der Anzeigende im Fall von § 32 Absatz 1 Satz 2 den Antrag auf Erstellung einer Stellungnahme der zuständigen Ethik-Kommission gleichzeitig mit dem Genehmigungsantrag oder der Anzeige stellen. Für das Verfahren bei der Ethik-Kommission gilt im Fall einer nach § 31 genehmigungsbedürftigen Anwendung § 31a Absatz 2 und Absatz 3 Satz 1 sowie im Fall einer nach § 32 Absatz 1 anzeigebedürftigen Anwendung § 32 Absatz 1b und Absatz 2 bis 4 entsprechend.</w:t>
      </w:r>
    </w:p>
    <w:p>
      <w:r>
        <w:t xml:space="preserve">(2) Für die Frist zur Stellungnahme der zuständigen Ethik-Kommission gelten folgende Vorschriften entsprechend:</w:t>
      </w:r>
    </w:p>
    <w:p>
      <w:pPr>
        <w:ind w:left="420"/>
      </w:pPr>
      <w:r>
        <w:t xml:space="preserve">1. § 36 Absatz 1 bis 3 des Medizinprodukterecht-Durchführungsgesetzes, wenn die anzeige- oder genehmigungsbedürftige Anwendung im Rahmen einer klinischen Prüfung im Sinne des Artikels 2 Nummer 45 der Verordnung (EU) 2017/745 erfolgen soll,</w:t>
      </w:r>
    </w:p>
    <w:p>
      <w:pPr>
        <w:ind w:left="420"/>
      </w:pPr>
      <w:r>
        <w:t xml:space="preserve">2. § 41 Absatz 3 des Medizinprodukterecht-Durchführungsgesetzes, wenn die nach § 31 Satz 2 genehmigungsbedürftige oder nach § 32 Absatz 1 Satz 2 anzeigebedürftige wesentliche Abweichung von einer Anwendung im Rahmen einer klinischen Prüfung im Sinne des Artikels 2 Nummer 45 der Verordnung (EU) 2017/745 erfolgen soll,</w:t>
      </w:r>
    </w:p>
    <w:p>
      <w:pPr>
        <w:ind w:left="420"/>
      </w:pPr>
      <w:r>
        <w:t xml:space="preserve">3. § 51 Absatz 1 bis 3 des Medizinprodukterecht-Durchführungsgesetzes, wenn die anzeige- oder genehmigungsbedürftige Anwendung im Rahmen einer sonstigen klinischen Prüfung im Sinne des § 3 Nummer 4 des Medizinprodukterecht-Durchführungsgesetzes erfolgen soll,</w:t>
      </w:r>
    </w:p>
    <w:p>
      <w:pPr>
        <w:ind w:left="420"/>
      </w:pPr>
      <w:r>
        <w:t xml:space="preserve">4. § 58 Absatz 1 des Medizinprodukterecht-Durchführungsgesetzes, wenn die nach § 31 Satz 2 genehmigungsbedürftige oder nach § 32 Absatz 1 Satz 2 anzeigebedürftige wesentliche Abweichung von einer Anwendung im Rahmen einer sonstigen klinischen Prüfung im Sinne des § 3 Nummer 4 des Medizinprodukterecht-Durchführungsgesetzes erfolgen soll.</w:t>
      </w:r>
    </w:p>
    <w:p>
      <w:r>
        <w:t xml:space="preserve">(3) Verlängert sich nach § 36 Absatz 3 Satz 1, § 41 Absatz 3 Satz 2 oder § 51 Absatz 3 Satz 1 des Medizinprodukterecht-Durchführungsgesetzes die Frist zur Erstellung der medizinprodukterechtlichen Stellungnahme der Ethik-Kommission oder ist der Ablauf der Frist nach § 36 Absatz 2, § 51 Absatz 2 oder § 58 Absatz 1 Satz 2 des Medizinprodukterecht-Durchführungsgesetzes gehemmt, verlängert sich auch die der zuständigen Ethik-Kommission zur Erstellung der strahlenschutzrechtlichen Stellungnahme zustehende Frist entsprechend oder ist deren Ablauf entsprechend gehemmt.</w:t>
      </w:r>
    </w:p>
    <w:p>
      <w:r>
        <w:t xml:space="preserve">(4) Die zuständige Ethik-Kommission übermittelt die Stellungnahme sowohl dem Antragsteller oder Anzeigenden als auch der zuständigen Behörde.</w:t>
      </w:r>
    </w:p>
    <w:p>
      <w:r>
        <w:rPr>
          <w:color w:val="555555"/>
          <w:sz w:val="17"/>
        </w:rPr>
        <w:t xml:space="preserve">Zitiervorschlag: § 36b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https://recht.nulegal.eu/gesetze/StrlSchG/36b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