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StrlSchG — Deckungsvorsorge bei der anzeigebedürftigen Anwendung radioaktiver Stoffe oder ionisierender Strahlung am Menschen zum Zweck der medizinischen Forschung</w:t>
      </w:r>
    </w:p>
    <w:p>
      <w:r>
        <w:rPr>
          <w:color w:val="555555"/>
          <w:sz w:val="18"/>
        </w:rPr>
        <w:t xml:space="preserve">Strahlenschutzgesetz</w:t>
      </w:r>
    </w:p>
    <w:p>
      <w:r>
        <w:rPr>
          <w:color w:val="555555"/>
          <w:sz w:val="18"/>
        </w:rPr>
        <w:t xml:space="preserve">Stand: 26.05.2021 (konsolidierte Textfassung, kein amtliches Inkrafttretensdatum)</w:t>
      </w:r>
    </w:p>
    <w:p>
      <w:r>
        <w:t xml:space="preserve">(1) Im Anzeigeverfahren ist der Nachweis über die erforderliche Deckungsvorsorge zu erbringen durch die Vorlage einer Bestätigung über eine bestehende Versicherung, die für den Fall, dass bei der Anwendung radioaktiver Stoffe oder ionisierender Strahlung am Menschen zum Zweck der medizinischen Forschung ein Mensch getötet oder der Körper oder die Gesundheit eines Menschen verletzt oder beeinträchtigt wird, auch Leistungen gewährt, wenn kein anderer für den Schaden haftet. Die Versicherung muss zugunsten der Personen, an denen die radioaktiven Stoffe oder die ionisierende Strahlung angewendet werden, bei einem in einem Mitgliedstaat der Europäischen Union oder einem anderen Vertragsstaat des Abkommens über den Europäischen Wirtschaftsraum zum Geschäftsbetrieb zugelassenen Versicherer genommen werden.</w:t>
      </w:r>
    </w:p>
    <w:p>
      <w:r>
        <w:t xml:space="preserve">(2) Der Umfang der Versicherung muss in einem angemessenen Verhältnis zu den Risiken stehen, die mit den Anwendungen verbunden sind. Er muss auf der Grundlage der Risikoabschätzung so festgelegt werden, dass für den Fall des Todes oder der dauernden Erwerbsunfähigkeit einer jeden Person, an der die radioaktiven Stoffe oder die ionisierende Strahlung angewendet werden, mindestens 500 000 Euro zur Verfügung stehen.</w:t>
      </w:r>
    </w:p>
    <w:p>
      <w:r>
        <w:t xml:space="preserve">(3) Abweichend von Absatz 1 kann der Nachweis über die erforderliche Deckungsvorsorge durch den Nachweis des Bestehens einer Versicherung zugunsten der von der klinischen Prüfung betroffenen Personen nach dem Arzneimittelgesetz oder nach dem Medizinprodukterecht-Durchführungsgesetz erbracht werden.</w:t>
      </w:r>
    </w:p>
    <w:p>
      <w:r>
        <w:rPr>
          <w:color w:val="555555"/>
          <w:sz w:val="17"/>
        </w:rPr>
        <w:t xml:space="preserve">Zitiervorschlag: § 35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