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33 StrlSchG — Beginn der angezeigten Anwendung</w:t>
      </w:r>
    </w:p>
    <w:p>
      <w:r>
        <w:rPr>
          <w:color w:val="555555"/>
          <w:sz w:val="18"/>
        </w:rPr>
        <w:t xml:space="preserve">Strahlenschutzgesetz</w:t>
      </w:r>
    </w:p>
    <w:p>
      <w:r>
        <w:rPr>
          <w:color w:val="555555"/>
          <w:sz w:val="18"/>
        </w:rPr>
        <w:t xml:space="preserve">Stand: 01.07.2025 (konsolidierte Textfassung, kein amtliches Inkrafttretensdatum)</w:t>
      </w:r>
    </w:p>
    <w:p>
      <w:r>
        <w:t xml:space="preserve">(1) Mit der angezeigten Anwendung radioaktiver Stoffe oder ionisierender Strahlung am Menschen zum Zweck der medizinischen Forschung darf begonnen werden, wenn</w:t>
      </w:r>
    </w:p>
    <w:p>
      <w:pPr>
        <w:ind w:left="420"/>
      </w:pPr>
      <w:r>
        <w:t xml:space="preserve">1. das arzneimittelrechtliche oder medizinprodukterechtliche Genehmigungs- oder Anzeigeverfahren wie folgt abgeschlossen wurde:</w:t>
      </w:r>
    </w:p>
    <w:p>
      <w:pPr>
        <w:ind w:left="780"/>
      </w:pPr>
      <w:r>
        <w:t xml:space="preserve">a) für die klinische Prüfung im Sinne des § 4 Absatz 23 des Arzneimittelgesetzes oder die wesentliche Änderung einer klinischen Prüfung im Sinne des § 4 Absatz 23 des Arzneimittelgesetzes wurde eine Genehmigung erteilt oder gilt eine Genehmigung als erteilt oder</w:t>
      </w:r>
    </w:p>
    <w:p>
      <w:pPr>
        <w:ind w:left="780"/>
      </w:pPr>
      <w:r>
        <w:t xml:space="preserve">b) die klinische Prüfung im Sinne des Artikels 2 Nummer 45 der Verordnung (EU) 2017/745 oder die sonstige klinische Prüfung im Sinne des § 3 Nummer 4 des Medizinprodukterecht-Durchführungsgesetzes darf begonnen werden oder eine wesentliche Änderung der vorgenannten Prüfungen darf vorgenommen werden,</w:t>
      </w:r>
    </w:p>
    <w:p>
      <w:pPr>
        <w:ind w:left="420"/>
      </w:pPr>
      <w:r>
        <w:t xml:space="preserve">2. die zuständige Behörde dem Anzeigenden den Eingang der zustimmenden Stellungnahme der zuständigen Ethik-Kommission zu dem Forschungsvorhaben bestätigt hat und</w:t>
      </w:r>
    </w:p>
    <w:p>
      <w:pPr>
        <w:ind w:left="420"/>
      </w:pPr>
      <w:r>
        <w:t xml:space="preserve">3. die Anwendung nicht nach § 34 untersagt wurde.</w:t>
      </w:r>
    </w:p>
    <w:p>
      <w:r>
        <w:t xml:space="preserve">Die zuständige Behörde hat dem Anzeigenden den Eingang der zustimmenden Stellungnahme der zuständigen Ethik-Kommission zu dem Forschungsvorhaben unverzüglich zu bestätigen.</w:t>
      </w:r>
    </w:p>
    <w:p>
      <w:r>
        <w:t xml:space="preserve">(2) Sobald nach Absatz 1 mit der Anwendung begonnen werden darf, gibt die für die Anzeige zuständige Behörde der zuständigen Aufsichtsbehörde den wesentlichen Inhalt der Anzeige unverzüglich zur Kenntnis.</w:t>
      </w:r>
    </w:p>
    <w:p>
      <w:r>
        <w:rPr>
          <w:color w:val="555555"/>
          <w:sz w:val="17"/>
        </w:rPr>
        <w:t xml:space="preserve">Zitiervorschlag: § 33 StrlSchG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https://recht.nulegal.eu/gesetze/StrlSchG/33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