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StrlSchG — Genehmigungsbedürftige Anwendung</w:t>
      </w:r>
    </w:p>
    <w:p>
      <w:r>
        <w:rPr>
          <w:color w:val="555555"/>
          <w:sz w:val="18"/>
        </w:rPr>
        <w:t xml:space="preserve">Strahlenschutzgesetz</w:t>
      </w:r>
    </w:p>
    <w:p>
      <w:r>
        <w:rPr>
          <w:color w:val="555555"/>
          <w:sz w:val="18"/>
        </w:rPr>
        <w:t xml:space="preserve">Stand: 01.07.2025 (konsolidierte Textfassung, kein amtliches Inkrafttretensdatum)</w:t>
      </w:r>
    </w:p>
    <w:p>
      <w:r>
        <w:t xml:space="preserve">Wer zum Zweck der medizinischen Forschung radioaktive Stoffe oder ionisierende Strahlung am Menschen anwendet, bedarf der Genehmigung, sofern die Anwendung radioaktiver Stoffe oder ionisierender Strahlung am Menschen zum Zweck der medizinischen Forschung nicht nach § 32 Absatz 1 anzeigebedürftig ist. Einer Genehmigung bedarf ferner, wer von einer nach dieser Vorschrift genehmigten Anwendung wesentlich abweicht.</w:t>
      </w:r>
    </w:p>
    <w:p>
      <w:r>
        <w:rPr>
          <w:color w:val="555555"/>
          <w:sz w:val="17"/>
        </w:rPr>
        <w:t xml:space="preserve">Zitiervorschlag: § 31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