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StrlSchG — Voraussetzungen für die Erteilung der Genehmigung</w:t>
      </w:r>
    </w:p>
    <w:p>
      <w:r>
        <w:rPr>
          <w:color w:val="555555"/>
          <w:sz w:val="18"/>
        </w:rPr>
        <w:t xml:space="preserve">Strahlenschutzgesetz</w:t>
      </w:r>
    </w:p>
    <w:p>
      <w:r>
        <w:rPr>
          <w:color w:val="555555"/>
          <w:sz w:val="18"/>
        </w:rPr>
        <w:t xml:space="preserve">Stand: 11.03.2022 (konsolidierte Textfassung, kein amtliches Inkrafttretensdatum)</w:t>
      </w:r>
    </w:p>
    <w:p>
      <w:r>
        <w:t xml:space="preserve">(1) Die zuständige Behörde hat die Genehmigung nach § 27 Absatz 1 zu erteilen, wenn</w:t>
      </w:r>
    </w:p>
    <w:p>
      <w:pPr>
        <w:ind w:left="420"/>
      </w:pPr>
      <w:r>
        <w:t xml:space="preserve">1. keine Tatsachen vorliegen, aus denen sich Bedenken gegen die Zuverlässigkeit des Abgebenden, des Absenders, des Beförderers und der die Versendung und Beförderung besorgenden Personen, ihrer gesetzlichen Vertreter oder, bei juristischen Personen oder sonstigen Personenvereinigungen, der nach Gesetz, Satzung oder Gesellschaftsvertrag zur Vertretung oder Geschäftsführung Berechtigten ergeben, und, falls ein Strahlenschutzbeauftragter nicht notwendig ist, eine der genannten natürlichen Personen die erforderliche Fachkunde im Strahlenschutz besitzt,</w:t>
      </w:r>
    </w:p>
    <w:p>
      <w:pPr>
        <w:ind w:left="420"/>
      </w:pPr>
      <w:r>
        <w:t xml:space="preserve">2. keine Tatsachen vorliegen, aus denen sich Bedenken gegen die Zuverlässigkeit der Strahlenschutzbeauftragten ergeben und wenn diese die erforderliche Fachkunde im Strahlenschutz besitzen,</w:t>
      </w:r>
    </w:p>
    <w:p>
      <w:pPr>
        <w:ind w:left="420"/>
      </w:pPr>
      <w:r>
        <w:t xml:space="preserve">3. die für eine sichere Ausführung der Beförderung notwendige Anzahl von Strahlenschutzbeauftragten bestellt ist und ihnen die für die Erfüllung ihrer Aufgaben erforderlichen Befugnisse eingeräumt sind,</w:t>
      </w:r>
    </w:p>
    <w:p>
      <w:pPr>
        <w:ind w:left="420"/>
      </w:pPr>
      <w:r>
        <w:t xml:space="preserve">4. gewährleistet ist, dass die Beförderung durch Personen ausgeführt wird, die das für die beabsichtigte Art der Beförderung notwendige Wissen und die notwendigen Fertigkeiten im Hinblick auf die mögliche Strahlengefährdung und die anzuwendenden Schutzmaßnahmen besitzen,</w:t>
      </w:r>
    </w:p>
    <w:p>
      <w:pPr>
        <w:ind w:left="420"/>
      </w:pPr>
      <w:r>
        <w:t xml:space="preserve">5. gewährleistet ist, dass die sonstigen radioaktiven Stoffe unter Beachtung der für den jeweiligen Verkehrsträger geltenden Rechtsvorschriften über die Beförderung gefährlicher Güter befördert werden oder, soweit solche Vorschriften fehlen, auf andere Weise die nach dem Stand von Wissenschaft und Technik erforderliche Vorsorge gegen Schäden durch die Beförderung der sonstigen radioaktiven Stoffe getroffen ist,</w:t>
      </w:r>
    </w:p>
    <w:p>
      <w:pPr>
        <w:ind w:left="420"/>
      </w:pPr>
      <w:r>
        <w:t xml:space="preserve">6. die erforderliche Vorsorge für die Erfüllung gesetzlicher Schadensersatzverpflichtungen getroffen ist bei der Beförderung</w:t>
      </w:r>
    </w:p>
    <w:p>
      <w:pPr>
        <w:ind w:left="780"/>
      </w:pPr>
      <w:r>
        <w:t xml:space="preserve">a) von sonstigen radioaktiven Stoffen nach § 3 Absatz 1, deren Aktivität je Versandstück das 109fache der in einer nach § 24 Satz 1 Nummer 10 erlassenen Rechtsverordnung festgelegten Freigrenzen der Aktivität oder 1015 Becquerel überschreitet, oder</w:t>
      </w:r>
    </w:p>
    <w:p>
      <w:pPr>
        <w:ind w:left="780"/>
      </w:pPr>
      <w:r>
        <w:t xml:space="preserve">b) von Kernbrennstoffen nach § 3 Absatz 3, deren Aktivität je Versandstück das 105fache der in einer nach § 24 Satz 1 Nummer 10 erlassenen Rechtsverordnung festgelegten Freigrenzen der Aktivität oder 1015 Becquerel überschreitet,</w:t>
      </w:r>
    </w:p>
    <w:p>
      <w:pPr>
        <w:ind w:left="420"/>
      </w:pPr>
      <w:r>
        <w:t xml:space="preserve">7. der erforderliche Schutz gegen Störmaßnahmen oder sonstige Einwirkungen Dritter gewährleistet ist,</w:t>
      </w:r>
    </w:p>
    <w:p>
      <w:pPr>
        <w:ind w:left="420"/>
      </w:pPr>
      <w:r>
        <w:t xml:space="preserve">8. gewährleistet ist, dass bei der Beförderung von sonstigen radioaktiven Stoffen mit einer Aktivität von mehr als dem 1010fachen der in einer nach § 24 Satz 1 Nummer 10 erlassenen Rechtsverordnung festgelegten Freigrenzen der Aktivität nach Maßgabe einer nach § 82 Absatz 1 Nummer 1 erlassenen Rechtsverordnung das erforderliche Personal und die erforderlichen Hilfsmittel vorgehalten werden, um Gefahren einzudämmen und zu beseitigen, die in Zusammenhang mit der Beförderung durch Störfälle oder Notfälle entstehen können,</w:t>
      </w:r>
    </w:p>
    <w:p>
      <w:pPr>
        <w:ind w:left="420"/>
      </w:pPr>
      <w:r>
        <w:t xml:space="preserve">9. die Wahl der Art, der Zeit und des Weges der Beförderung dem Schutz der Bevölkerung vor der schädlichen Wirkung ionisierender Strahlung nicht entgegensteht.</w:t>
      </w:r>
    </w:p>
    <w:p>
      <w:r>
        <w:t xml:space="preserve">(2) Dem Genehmigungsantrag sind die zur Prüfung erforderlichen Unterlagen beizufügen.</w:t>
      </w:r>
    </w:p>
    <w:p>
      <w:r>
        <w:t xml:space="preserve">(3) Bei der Beförderung von Kernmaterialien im Sinne des § 2 Absatz 4 des Atomgesetzes ist eine Deckungsvorsorge auch dann zu erbringen, wenn die Aktivitätswerte des Absatzes 1 Nummer 6 nicht überschritten werden.</w:t>
      </w:r>
    </w:p>
    <w:p>
      <w:r>
        <w:rPr>
          <w:color w:val="555555"/>
          <w:sz w:val="17"/>
        </w:rPr>
        <w:t xml:space="preserve">Zitiervorschlag: § 29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