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StrlSchG — Genehmigungsfreie Beförderung</w:t>
      </w:r>
    </w:p>
    <w:p>
      <w:r>
        <w:rPr>
          <w:color w:val="555555"/>
          <w:sz w:val="18"/>
        </w:rPr>
        <w:t xml:space="preserve">Strahlenschutzgesetz</w:t>
      </w:r>
    </w:p>
    <w:p>
      <w:r>
        <w:rPr>
          <w:color w:val="555555"/>
          <w:sz w:val="18"/>
        </w:rPr>
        <w:t xml:space="preserve">Stand: 19.02.2022 (konsolidierte Textfassung, kein amtliches Inkrafttretensdatum)</w:t>
      </w:r>
    </w:p>
    <w:p>
      <w:r>
        <w:t xml:space="preserve">(1) Keiner Genehmigung nach § 4 Absatz 1 des Atomgesetzes oder § 27 Absatz 1 dieses Gesetzes bedarf, wer folgende Stoffe befördert:</w:t>
      </w:r>
    </w:p>
    <w:p>
      <w:pPr>
        <w:ind w:left="420"/>
      </w:pPr>
      <w:r>
        <w:t xml:space="preserve">1. Stoffe, für die der Umgang nach einer nach § 24 Satz 1 Nummer 1 erlassenen Rechtsverordnung genehmigungsfrei ist,</w:t>
      </w:r>
    </w:p>
    <w:p>
      <w:pPr>
        <w:ind w:left="420"/>
      </w:pPr>
      <w:r>
        <w:t xml:space="preserve">2. Stoffe, die von der Anwendung der für radioaktive Stoffe geltenden Vorschriften für die Beförderung gefährlicher Güter befreit sind,</w:t>
      </w:r>
    </w:p>
    <w:p>
      <w:pPr>
        <w:ind w:left="420"/>
      </w:pPr>
      <w:r>
        <w:t xml:space="preserve">3. sonstige radioaktive Stoffe</w:t>
      </w:r>
    </w:p>
    <w:p>
      <w:pPr>
        <w:ind w:left="780"/>
      </w:pPr>
      <w:r>
        <w:t xml:space="preserve">a) unter den Voraussetzungen für freigestellte Versandstücke nach den Vorschriften für die Beförderung gefährlicher Güter,</w:t>
      </w:r>
    </w:p>
    <w:p>
      <w:pPr>
        <w:ind w:left="780"/>
      </w:pPr>
      <w:r>
        <w:t xml:space="preserve">b) nach den Vorschriften der Gefahrgutverordnung See oder</w:t>
      </w:r>
    </w:p>
    <w:p>
      <w:pPr>
        <w:ind w:left="780"/>
      </w:pPr>
      <w:r>
        <w:t xml:space="preserve">c) mit Luftfahrzeugen und der hierfür erforderlichen Erlaubnis nach § 27 des Luftverkehrsgesetzes.</w:t>
      </w:r>
    </w:p>
    <w:p>
      <w:r>
        <w:t xml:space="preserve">Satz 1 gilt nicht für die Beförderung von Großquellen im Sinne des § 186 Absatz 1 Satz 2. Satz 1 Nummer 3 Buchstabe a gilt nicht für die Beförderung hochradioaktiver Strahlenquellen.</w:t>
      </w:r>
    </w:p>
    <w:p>
      <w:r>
        <w:t xml:space="preserve">(2) Wer radioaktive Erzeugnisse oder Abfälle befördert, die Kernmaterialien im Sinne von § 2 Absatz 4 Satz 1 des Atomgesetzes sind, ohne hierfür der Genehmigung nach § 27 Absatz 1 zu bedürfen, darf die Kernmaterialien zur Beförderung oder Weiterbeförderung nur dann übernehmen, wenn ihm gleichzeitig eine Bescheinigung der zuständigen Behörde darüber vorgelegt wird, dass sich die Vorsorge der Person, die ihm die Kernmaterialien übergibt, auch auf die Erfüllung gesetzlicher Schadensersatzverpflichtungen im Zusammenhang mit der Beförderung oder Weiterbeförderung erstreckt. Die Vorlage ist entbehrlich, falls er nicht selbst den Nachweis der erforderlichen Vorsorge für die Erfüllung gesetzlicher Schadensersatzverpflichtungen nach § 4b des Atomgesetzes zu erbringen hat.</w:t>
      </w:r>
    </w:p>
    <w:p>
      <w:r>
        <w:rPr>
          <w:color w:val="555555"/>
          <w:sz w:val="17"/>
        </w:rPr>
        <w:t xml:space="preserve">Zitiervorschlag: § 28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