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StrlSchG — Genehmigungsbedürftige Beförderung sonstiger radioaktiver Stoffe</w:t>
      </w:r>
    </w:p>
    <w:p>
      <w:r>
        <w:rPr>
          <w:color w:val="555555"/>
          <w:sz w:val="18"/>
        </w:rPr>
        <w:t xml:space="preserve">Strahlenschutzgesetz</w:t>
      </w:r>
    </w:p>
    <w:p>
      <w:r>
        <w:rPr>
          <w:color w:val="555555"/>
          <w:sz w:val="18"/>
        </w:rPr>
        <w:t xml:space="preserve">Stand: 05.06.2021 (konsolidierte Textfassung, kein amtliches Inkrafttretensdatum)</w:t>
      </w:r>
    </w:p>
    <w:p>
      <w:r>
        <w:t xml:space="preserve">(1) Wer sonstige radioaktive Stoffe befördert, bedarf der Genehmigung. Die Genehmigung kann dem Absender oder Beförderer im Sinne der Vorschriften über die Beförderung gefährlicher Güter, dem Abgebenden oder demjenigen erteilt werden, der es übernimmt, die Versendung oder Beförderung zu besorgen. Sie ist für den einzelnen Beförderungsvorgang zu erteilen; sie kann jedoch einem Antragsteller allgemein für längstens drei Jahre für eine Vielzahl von Beförderungen erteilt werden. Die Genehmigung erstreckt sich auch auf die Teilstrecken eines Beförderungsvorgangs, der nicht auf öffentlichen oder der Öffentlichkeit zugänglichen Verkehrswegen stattfindet, soweit für diese Teilstrecken keine Genehmigung für den Umgang mit radioaktiven Stoffen vorliegt.</w:t>
      </w:r>
    </w:p>
    <w:p>
      <w:r>
        <w:t xml:space="preserve">(2) Eine Genehmigung nach Absatz 1 ist nicht erforderlich, soweit eine Genehmigung nach § 4 Absatz 1 des Atomgesetzes vorliegt, die sich gemäß § 10a Absatz 3 des Atomgesetzes auf eine genehmigungsbedürftige Beförderung sonstiger radioaktiver Stoffe nach Absatz 1 erstreckt.</w:t>
      </w:r>
    </w:p>
    <w:p>
      <w:r>
        <w:t xml:space="preserve">(3) Bei der Beförderung ist eine Ausfertigung oder eine amtlich beglaubigte Abschrift des Genehmigungsbescheides mitzuführen. Die Ausfertigung oder Abschrift des Genehmigungsbescheides ist der für die Aufsicht zuständigen Behörde oder den von ihr Beauftragten auf Verlangen vorzuzeigen.</w:t>
      </w:r>
    </w:p>
    <w:p>
      <w:r>
        <w:t xml:space="preserve">(4) Die Bestimmungen des Genehmigungsbescheides sind bei der Ausführung der Beförderung auch vom Beförderer, der nicht selbst Inhaber der Genehmigung ist, zu beachten.</w:t>
      </w:r>
    </w:p>
    <w:p>
      <w:r>
        <w:t xml:space="preserve">(5) Die für die jeweiligen Verkehrsträger geltenden Rechtsvorschriften über die Beförderung gefährlicher Güter bleiben unberührt.</w:t>
      </w:r>
    </w:p>
    <w:p>
      <w:r>
        <w:rPr>
          <w:color w:val="555555"/>
          <w:sz w:val="17"/>
        </w:rPr>
        <w:t xml:space="preserve">Zitiervorschlag: § 27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