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StrlSchG — Anzeigebedürftige Beschäftigung im Zusammenhang mit dem Betrieb fremder Röntgeneinrichtungen oder Störstrahler</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im Zusammenhang mit dem Betrieb einer fremden Röntgeneinrichtung oder eines fremden Störstrahlers Personen beschäftigt, die unter seiner Aufsicht stehen, oder Aufgaben selbst wahrnimmt, hat dies der zuständigen Behörde vor Beginn der Tätigkeit schriftlich anzuzeigen, wenn dies bei den beschäftigten Personen oder bei ihm selbst zu einer effektiven Dosis von mehr als 1 Millisievert im Kalenderjahr führen kann. Von der Anzeigepflicht ausgenommen sind Inhaber einer Genehmigung nach § 25 für die Tätigkeit nach Satz 1.</w:t>
      </w:r>
    </w:p>
    <w:p>
      <w:r>
        <w:t xml:space="preserve">(2) Der Anzeige sind die folgenden Unterlagen beizufügen:</w:t>
      </w:r>
    </w:p>
    <w:p>
      <w:pPr>
        <w:ind w:left="420"/>
      </w:pPr>
      <w:r>
        <w:t xml:space="preserve">1. Nachweis, dass jeder Strahlenschutzbeauftragte die erforderliche Fachkunde im Strahlenschutz besitzt oder, falls ein Strahlenschutzbeauftragter nicht notwendig ist, die zur Anzeige verpflichtete Person, ihr gesetzlicher Vertreter oder, bei juristischen Personen oder sonstigen Personenvereinigungen, der nach Gesetz, Satzung oder Gesellschaftsvertrag zur Vertretung oder Geschäftsführung Berechtigte die erforderliche Fachkunde im Strahlenschutz besitzt,</w:t>
      </w:r>
    </w:p>
    <w:p>
      <w:pPr>
        <w:ind w:left="420"/>
      </w:pPr>
      <w:r>
        <w:t xml:space="preserve">2. Nachweis, dass die beim Betrieb der Röntgeneinrichtung sonst tätigen Personen das notwendige Wissen und die notwendigen Fertigkeiten im Hinblick auf die mögliche Strahlengefährdung und die anzuwendenden Schutzmaßnahmen besitzen und</w:t>
      </w:r>
    </w:p>
    <w:p>
      <w:pPr>
        <w:ind w:left="420"/>
      </w:pPr>
      <w:r>
        <w:t xml:space="preserve">3. Nachweis, dass die im Zusammenhang mit dem Betrieb der fremden Röntgeneinrichtung oder des fremden Störstrahlers beschäftigten Personen den Anordnungen der dortigen Strahlenschutzverantwortlichen und Strahlenschutzbeauftragten Folge zu leisten haben, die diese in Erfüllung ihrer Pflichten nach diesem Gesetz und nach den auf Grund dieses Gesetzes erlassenen Rechtsverordnungen treffen.</w:t>
      </w:r>
    </w:p>
    <w:p>
      <w:r>
        <w:t xml:space="preserve">(3) Die zuständige Behörde kann Tätigkeiten nach Absatz 1 Satz 1 untersagen, wenn</w:t>
      </w:r>
    </w:p>
    <w:p>
      <w:pPr>
        <w:ind w:left="420"/>
      </w:pPr>
      <w:r>
        <w:t xml:space="preserve">1. eine der Anforderungen nach Absatz 2 nicht oder nicht mehr erfüllt ist,</w:t>
      </w:r>
    </w:p>
    <w:p>
      <w:pPr>
        <w:ind w:left="420"/>
      </w:pPr>
      <w:r>
        <w:t xml:space="preserve">2.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w:t>
      </w:r>
    </w:p>
    <w:p>
      <w:r>
        <w:rPr>
          <w:color w:val="555555"/>
          <w:sz w:val="17"/>
        </w:rPr>
        <w:t xml:space="preserve">Zitiervorschlag: § 26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