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StrlSchG — Verordnungsermächtigungen</w:t>
      </w:r>
    </w:p>
    <w:p>
      <w:r>
        <w:rPr>
          <w:color w:val="555555"/>
          <w:sz w:val="18"/>
        </w:rPr>
        <w:t xml:space="preserve">Strahlenschutzgesetz</w:t>
      </w:r>
    </w:p>
    <w:p>
      <w:r>
        <w:rPr>
          <w:color w:val="555555"/>
          <w:sz w:val="18"/>
        </w:rPr>
        <w:t xml:space="preserve">Stand: 10.06.2019 (konsolidierte Textfassung, kein amtliches Inkrafttretensdatum)</w:t>
      </w:r>
    </w:p>
    <w:p>
      <w:r>
        <w:t xml:space="preserve">Die Bundesregierung wird ermächtigt, durch Rechtsverordnung mit Zustimmung des Bundesrates zu bestimmen,</w:t>
      </w:r>
    </w:p>
    <w:p>
      <w:pPr>
        <w:ind w:left="420"/>
      </w:pPr>
      <w:r>
        <w:t xml:space="preserve">1. dass Ausnahmen von der Genehmigungs- oder Anzeigebedürftigkeit einer Tätigkeit zugelassen werden können, soweit wegen der Menge oder Beschaffenheit der radioaktiven Stoffe, Eigenschaften der Geräte oder wegen bestimmter Schutzmaßnahmen nicht mit Schäden infolge der Wirkung ionisierender Strahlung zu rechnen ist,</w:t>
      </w:r>
    </w:p>
    <w:p>
      <w:pPr>
        <w:ind w:left="420"/>
      </w:pPr>
      <w:r>
        <w:t xml:space="preserve">2. unter welchen Voraussetzungen die erforderliche Vorsorge für die Erfüllung gesetzlicher Schadensersatzverpflichtungen für die Genehmigung nach § 12 Absatz 1 Nummer 3 nicht getroffen werden muss,</w:t>
      </w:r>
    </w:p>
    <w:p>
      <w:pPr>
        <w:ind w:left="420"/>
      </w:pPr>
      <w:r>
        <w:t xml:space="preserve">3. unter welchen Voraussetzungen der Hersteller oder Einführer einen Störstrahler einem anderen überlassen darf,</w:t>
      </w:r>
    </w:p>
    <w:p>
      <w:pPr>
        <w:ind w:left="420"/>
      </w:pPr>
      <w:r>
        <w:t xml:space="preserve">4. welche Röntgeneinrichtungen in Schulen betrieben werden dürfen, mit welchen radioaktiven Stoffen in Schulen umgegangen werden darf, welche bauartzugelassenen Vorrichtungen, die radioaktive Stoffe enthalten, in Schulen verwendet werden dürfen und welche besonderen Anforderungen bei Tätigkeiten in Schulen gelten,</w:t>
      </w:r>
    </w:p>
    <w:p>
      <w:pPr>
        <w:ind w:left="420"/>
      </w:pPr>
      <w:r>
        <w:t xml:space="preserve">5. dass und in welcher Weise und in welchem Umfang der Inhaber einer kerntechnischen Anlage, einer Anlage im Sinne des § 9a Absatz 3 Satz 1 zweiter Satzteil des Atomgesetzes oder einer Anlage zur Erzeugung ionisierender Strahlung, in der mit radioaktiven Stoffen umgegangen wird oder umgegangen werden soll, verpflichtet ist, der Aufsichtsbehörde mitzuteilen, ob und welche Abweichungen von den Angaben zum Genehmigungsantrag einschließlich der beigefügten Unterlagen oder von der Genehmigung eingetreten sind,</w:t>
      </w:r>
    </w:p>
    <w:p>
      <w:pPr>
        <w:ind w:left="420"/>
      </w:pPr>
      <w:r>
        <w:t xml:space="preserve">6. dass in den Fällen, in denen der Umgang mit radioaktiven Stoffen oder der Betrieb einer Anlage zur Erzeugung ionisierender Strahlung, einer Röntgeneinrichtung oder eines Störstrahlers in der Verantwortung mehrerer Strahlenschutzverantwortlicher liegt, dies den zuständigen Behörden mitzuteilen ist, durch wen dies zu erfolgen hat und welche Unterlagen dabei vorzulegen sind,</w:t>
      </w:r>
    </w:p>
    <w:p>
      <w:pPr>
        <w:ind w:left="420"/>
      </w:pPr>
      <w:r>
        <w:t xml:space="preserve">7. dass radioaktive Stoffe</w:t>
      </w:r>
    </w:p>
    <w:p>
      <w:pPr>
        <w:ind w:left="780"/>
      </w:pPr>
      <w:r>
        <w:t xml:space="preserve">a) in bestimmter Art und Weise oder für bestimmte Zwecke nicht verwendet oder nicht in Verkehr gebracht werden dürfen oder</w:t>
      </w:r>
    </w:p>
    <w:p>
      <w:pPr>
        <w:ind w:left="780"/>
      </w:pPr>
      <w:r>
        <w:t xml:space="preserve">b) nicht grenzüberschreitend verbracht werden dürfen,</w:t>
      </w:r>
    </w:p>
    <w:p>
      <w:pPr>
        <w:ind w:left="420"/>
      </w:pPr>
      <w:r>
        <w:t xml:space="preserve">soweit das Verbot zum Schutz von Leben und Gesundheit der Bevölkerung vor den Gefahren radioaktiver Stoffe oder zur Durchsetzung von Beschlüssen internationaler Organisationen, deren Mitglied die Bundesrepublik Deutschland ist, erforderlich ist,</w:t>
      </w:r>
    </w:p>
    <w:p>
      <w:pPr>
        <w:ind w:left="420"/>
      </w:pPr>
      <w:r>
        <w:t xml:space="preserve">8. dass und in welcher Weise der Schutz von radioaktiven Stoffen, von Anlagen zur Erzeugung ionisierender Strahlung, von Röntgeneinrichtungen und von Störstrahlern gegen Störmaßnahmen und sonstige Einwirkungen Dritter zu gewährleisten ist,</w:t>
      </w:r>
    </w:p>
    <w:p>
      <w:pPr>
        <w:ind w:left="420"/>
      </w:pPr>
      <w:r>
        <w:t xml:space="preserve">9. unter welchen Voraussetzungen eine Genehmigung nach § 12 Absatz 1 Nummer 3</w:t>
      </w:r>
    </w:p>
    <w:p>
      <w:pPr>
        <w:ind w:left="780"/>
      </w:pPr>
      <w:r>
        <w:t xml:space="preserve">a) für eine Zwischenlagerung von radioaktiven Abfällen, die von der Ablieferungspflicht von radioaktiven Abfällen an die Landessammelstellen und an die Anlagen des Bundes nach § 9a Absatz 3 des Atomgesetzes im Hinblick auf das Ausmaß der damit verbundenen Gefahr abweicht, erteilt werden kann oder</w:t>
      </w:r>
    </w:p>
    <w:p>
      <w:pPr>
        <w:ind w:left="780"/>
      </w:pPr>
      <w:r>
        <w:t xml:space="preserve">b) unter Zulassung sonstiger Ausnahmen von der Ablieferungspflicht erteilt werden kann,</w:t>
      </w:r>
    </w:p>
    <w:p>
      <w:pPr>
        <w:ind w:left="420"/>
      </w:pPr>
      <w:r>
        <w:t xml:space="preserve">10. welche Werte der Aktivität und spezifischen Aktivität radioaktiver Stoffe als Freigrenzen gelten,</w:t>
      </w:r>
    </w:p>
    <w:p>
      <w:pPr>
        <w:ind w:left="420"/>
      </w:pPr>
      <w:r>
        <w:t xml:space="preserve">11. ab welcher Aktivität ein umschlossener radioaktiver Stoff eine hochradioaktive Strahlenquelle ist.</w:t>
      </w:r>
    </w:p>
    <w:p>
      <w:r>
        <w:t xml:space="preserve">Die Rechtsverordnung kann auch diejenigen Vorschriften der Rechtsverordnung festlegen, für deren Einhaltung der Strahlenschutzverantwortliche zu sorgen hat.</w:t>
      </w:r>
    </w:p>
    <w:p>
      <w:r>
        <w:rPr>
          <w:color w:val="555555"/>
          <w:sz w:val="17"/>
        </w:rPr>
        <w:t xml:space="preserve">Zitiervorschlag: § 24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