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 StrlSchG — Genehmigungsfreier Umgang mit Geräten, keramischen Gegenständen, Porzellan- und Glaswaren oder elektronischen Bauteilen sowie sonstigen Produkten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dem 1. April 1977 beschaffte Geräte, keramische Gegenstände, Porzellanwaren, Glaswaren oder elektronische Bauteile, mit denen nach § 11 der Ersten Strahlenschutzverordnung vom 15. Oktober 1965 ohne Genehmigung umgegangen werden durfte, dürfen weiter genehmigungsfrei verwendet und beseitigt werden, wenn diese Gegenstände zum Zeitpunkt der Beschaffung die Vorschrift des § 11 der Ersten Strahlenschutzverordnung vom 15. Oktober 1965 erfüllt haben.</w:t>
      </w:r>
    </w:p>
    <w:p>
      <w:r>
        <w:t xml:space="preserve">(2) Sonstige Produkte, die den Anforderungen der Anlage III Teil A Nummer 5, 6 oder 7 zur Strahlenschutzverordnung in der Fassung vom 30. Juni 1989 entsprechen und vor dem 1. August 2001 erworben worden sind, können weiter genehmigungs- und anzeigefrei verwendet, gelagert oder beseitigt werden.</w:t>
      </w:r>
    </w:p>
    <w:p>
      <w:r>
        <w:rPr>
          <w:color w:val="555555"/>
          <w:sz w:val="17"/>
        </w:rPr>
        <w:t xml:space="preserve">Zitiervorschlag: § 218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