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216 StrlSchG — Bestimmung von Messstellen (§ 169)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Behördliche Bestimmungen von Messstellen, die vor dem 31. Dezember 2018 erfolgt sind, gelten als Bestimmungen nach § 169 Absatz 1 fort, wenn bis zum 31. Dezember 2020 bei der zuständigen Behörde nachgewiesen ist, dass die Voraussetzungen nach § 169 Absatz 2 erfüllt sind.</w:t>
      </w:r>
    </w:p>
    <w:p>
      <w:r>
        <w:rPr>
          <w:color w:val="555555"/>
          <w:sz w:val="17"/>
        </w:rPr>
        <w:t xml:space="preserve">Zitiervorschlag: § 216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https://recht.nulegal.eu/gesetze/StrlSchG/216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