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215 StrlSchG — Radioaktive Altlasten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Erlaubnisse, die vor dem 31. Dezember 2018 auf dem in Artikel 3 des Einigungsvertrags vom 6. September 1990 (BGBl. 1990 II S. 885, 889) genannten Gebiet erteilt wurden für Sanierungs-, Schutz- oder Nachsorgemaßnahmen an Hinterlassenschaften früherer menschlicher Betätigungen im Sinne von § 136 Absatz 1 sowie für die Stilllegung und Sanierung der Betriebsanlagen und Betriebsstätten des Uranerzbergbaus auf Grund</w:t>
      </w:r>
    </w:p>
    <w:p>
      <w:pPr>
        <w:ind w:left="420"/>
      </w:pPr>
      <w:r>
        <w:t xml:space="preserve">1. der Verordnung über die Gewährleistung von Atomsicherheit und Strahlenschutz vom 11. Oktober 1984 (GBl. I Nr. 30 S. 341) nebst Durchführungsbestimmung zur Verordnung über die Gewährleistung von Atomsicherheit und Strahlenschutz vom 11. Oktober 1984 (GBl. I Nr. 30 S. 348; Ber. GBl. I 1987 Nr. 18 S. 196) und</w:t>
      </w:r>
    </w:p>
    <w:p>
      <w:pPr>
        <w:ind w:left="420"/>
      </w:pPr>
      <w:r>
        <w:t xml:space="preserve">2. der Anordnung zur Gewährleistung des Strahlenschutzes bei Halden und industriellen Absetzanlagen und bei der Verwendung darin abgelagerter Materialien vom 17. November 1980 (GBl. I Nr. 34 S. 347),</w:t>
      </w:r>
    </w:p>
    <w:p>
      <w:r>
        <w:t xml:space="preserve">gelten fort, soweit sie nach Inkrafttreten des Einigungsvertrags erteilt wurden oder vor diesem Zeitpunkt erteilt wurden, aber noch fortgelten.</w:t>
      </w:r>
    </w:p>
    <w:p>
      <w:r>
        <w:t xml:space="preserve">(2) Die auf den Erlaubnissen beruhenden Maßnahmen können nach Maßgabe der jeweiligen Erlaubnis beendet werden.</w:t>
      </w:r>
    </w:p>
    <w:p>
      <w:r>
        <w:rPr>
          <w:color w:val="555555"/>
          <w:sz w:val="17"/>
        </w:rPr>
        <w:t xml:space="preserve">Zitiervorschlag: § 215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