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214 StrlSchG — Anmeldung von Arbeitsplätzen in Innenräumen (§ 129)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vor dem 31. Dezember 2018 erfolgte Anzeige einer Arbeit, die einem in Anlage XI Teil A zur Strahlenschutzverordnung in der bis zum 31. Dezember 2018 geltenden Fassung genannten Arbeitsfeld zuzuordnen war, gilt als Anmeldung nach § 129 Absatz 1 mit der Maßgabe fort, dass Maßnahmen zur Reduzierung der Radon-222-Exposition, soweit sie nach § 128 Absatz 1 erforderlich sind, bis zum 31. Dezember 2020 zu ergreifen sind.</w:t>
      </w:r>
    </w:p>
    <w:p>
      <w:r>
        <w:t xml:space="preserve">(2) Eine Messung der Radon-222-Aktivitätskonzentration, die vor dem 31. Dezember 2018 im Rahmen einer Abschätzung nach § 95 Absatz 1 in Verbindung mit Anlage XI Teil A zur Strahlenschutzverordnung in der bis zum 31. Dezember 2018 geltenden Fassung durchgeführt worden ist, erfüllt die Pflicht zur Messung nach § 127 Absatz 1.</w:t>
      </w:r>
    </w:p>
    <w:p>
      <w:r>
        <w:rPr>
          <w:color w:val="555555"/>
          <w:sz w:val="17"/>
        </w:rPr>
        <w:t xml:space="preserve">Zitiervorschlag: § 214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