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212 StrlSchG — Grenzwerte für beruflich exponierte Personen; Ermittlung der Exposition der Bevölkerung (§§ 78, 80)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Grenzwert nach § 78 Absatz 2 Nummer 1 ist ab dem 1. Januar 2019 einzuhalten.</w:t>
      </w:r>
    </w:p>
    <w:p>
      <w:r>
        <w:t xml:space="preserve">(2) Für die Ermittlung der Exposition der Bevölkerung ist § 80 ab dem 1. Januar 2019 anzuwenden.</w:t>
      </w:r>
    </w:p>
    <w:p>
      <w:r>
        <w:rPr>
          <w:color w:val="555555"/>
          <w:sz w:val="17"/>
        </w:rPr>
        <w:t xml:space="preserve">Zitiervorschlag: § 212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