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206 StrlSchG — Genehmigungsbedürftiger Zusatz radioaktiver Stoffe und genehmigungsbedürftige Aktivierung (§ 40)</w:t>
      </w:r>
    </w:p>
    <w:p>
      <w:r>
        <w:rPr>
          <w:color w:val="555555"/>
          <w:sz w:val="18"/>
        </w:rPr>
        <w:t xml:space="preserve">Strahlenschutzgesetz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Eine Genehmigung für den Zusatz radioaktiver Stoffe und die Aktivierung, die vor dem 31. Dezember 2018 erteilt worden ist, gilt als Genehmigung nach § 40 Absatz 1 mit allen Nebenbestimmungen fort. Bedarf es zur Erteilung einer Genehmigung ab dem 31. Dezember 2018 eines Rücknahmekonzeptes nach § 41 Absatz 1 Nummer 3, das vor dem 31. Dezember 2018 noch nicht erforderlich war, so gilt Satz 1 nur, wenn für Konsumgüter, die ab dem 31. Dezember 2019 hergestellt werden, bis zu diesem Zeitpunkt ein Rücknahmekonzept erstellt wurde.</w:t>
      </w:r>
    </w:p>
    <w:p>
      <w:r>
        <w:t xml:space="preserve">(2) Die Verwendung, Lagerung und Beseitigung von Konsumgütern, die vor dem 1. August 2001 oder auf Grund des § 117 Absatz 6 Satz 1 der Strahlenschutzverordnung in der bis zum 31. Dezember 2018 geltenden Fassung genehmigungsfrei hergestellt wurden, bedarf weiterhin keiner Genehmigung.</w:t>
      </w:r>
    </w:p>
    <w:p>
      <w:r>
        <w:rPr>
          <w:color w:val="555555"/>
          <w:sz w:val="17"/>
        </w:rPr>
        <w:t xml:space="preserve">Zitiervorschlag: § 206 StrlSchG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https://recht.nulegal.eu/gesetze/StrlSchG/206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