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204 StrlSchG — Genehmigungsbedürftige Beförderung radioaktiver Stoffe (§ 27)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Genehmigung für die Beförderung, die vor dem 31. Dezember 2018 erteilt worden ist, gilt als Genehmigung nach § 27 Absatz 1 mit allen Nebenbestimmungen fort, wenn die nach § 29 Absatz 1 Nummer 2 geforderte Fachkunde bis zum 31. Dezember 2021 bei der zuständigen Behörde nachgewiesen ist.</w:t>
      </w:r>
    </w:p>
    <w:p>
      <w:r>
        <w:t xml:space="preserve">(2) Hat sich eine Genehmigung nach § 4 Absatz 1 des Atomgesetzes, die vor dem 31. Dezember 2018 erteilt worden ist, auf eine genehmigungsbedürftige Beförderung radioaktiver Stoffe erstreckt, so gilt diese Erstreckung als Erstreckung auf eine genehmigungsbedürftige Beförderung nach § 27 Absatz 1 dieses Gesetzes fort, wenn die nach § 29 Absatz 1 Nummer 2 dieses Gesetzes geforderte Fachkunde bis zum 31. Dezember 2021 bei der zuständigen Behörde nachgewiesen ist.</w:t>
      </w:r>
    </w:p>
    <w:p>
      <w:r>
        <w:rPr>
          <w:color w:val="555555"/>
          <w:sz w:val="17"/>
        </w:rPr>
        <w:t xml:space="preserve">Zitiervorschlag: § 204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